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E" w:rsidRDefault="009901CE" w:rsidP="00990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Геморрагический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васкулит</w:t>
      </w:r>
      <w:proofErr w:type="spellEnd"/>
    </w:p>
    <w:p w:rsidR="00661C6A" w:rsidRPr="00661C6A" w:rsidRDefault="00A73505" w:rsidP="00661C6A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661C6A">
        <w:rPr>
          <w:rFonts w:ascii="Times New Roman" w:hAnsi="Times New Roman"/>
          <w:i/>
          <w:sz w:val="24"/>
          <w:szCs w:val="24"/>
        </w:rPr>
        <w:t xml:space="preserve">Бажанов Владимир Владимирович, </w:t>
      </w:r>
    </w:p>
    <w:p w:rsidR="00661C6A" w:rsidRPr="00661C6A" w:rsidRDefault="00661C6A" w:rsidP="00661C6A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661C6A">
        <w:rPr>
          <w:rFonts w:ascii="Times New Roman" w:hAnsi="Times New Roman"/>
          <w:i/>
          <w:sz w:val="24"/>
          <w:szCs w:val="24"/>
        </w:rPr>
        <w:t xml:space="preserve">преподаватель специальных дисциплин </w:t>
      </w:r>
    </w:p>
    <w:p w:rsidR="00661C6A" w:rsidRPr="00661C6A" w:rsidRDefault="00A73505" w:rsidP="00661C6A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4"/>
          <w:szCs w:val="24"/>
        </w:rPr>
      </w:pPr>
      <w:r w:rsidRPr="00661C6A">
        <w:rPr>
          <w:rFonts w:ascii="Times New Roman" w:hAnsi="Times New Roman"/>
          <w:i/>
          <w:sz w:val="24"/>
          <w:szCs w:val="24"/>
        </w:rPr>
        <w:t>ГБПОУ «</w:t>
      </w:r>
      <w:proofErr w:type="spellStart"/>
      <w:r w:rsidRPr="00661C6A">
        <w:rPr>
          <w:rFonts w:ascii="Times New Roman" w:hAnsi="Times New Roman"/>
          <w:i/>
          <w:sz w:val="24"/>
          <w:szCs w:val="24"/>
        </w:rPr>
        <w:t>Миасский</w:t>
      </w:r>
      <w:proofErr w:type="spellEnd"/>
      <w:r w:rsidRPr="00661C6A">
        <w:rPr>
          <w:rFonts w:ascii="Times New Roman" w:hAnsi="Times New Roman"/>
          <w:i/>
          <w:sz w:val="24"/>
          <w:szCs w:val="24"/>
        </w:rPr>
        <w:t xml:space="preserve"> медицинский колледж»,</w:t>
      </w:r>
    </w:p>
    <w:p w:rsidR="00A73505" w:rsidRPr="00661C6A" w:rsidRDefault="00946B9A" w:rsidP="00661C6A">
      <w:pPr>
        <w:spacing w:after="0" w:line="240" w:lineRule="auto"/>
        <w:contextualSpacing/>
        <w:mirrorIndents/>
        <w:jc w:val="right"/>
        <w:rPr>
          <w:rFonts w:ascii="Times New Roman" w:hAnsi="Times New Roman"/>
          <w:i/>
          <w:sz w:val="28"/>
          <w:szCs w:val="28"/>
        </w:rPr>
      </w:pPr>
      <w:hyperlink r:id="rId5" w:history="1">
        <w:r w:rsidR="00A73505" w:rsidRPr="00661C6A">
          <w:rPr>
            <w:rStyle w:val="a4"/>
            <w:rFonts w:ascii="Times New Roman" w:eastAsia="Times New Roman" w:hAnsi="Times New Roman"/>
            <w:i/>
            <w:color w:val="auto"/>
            <w:sz w:val="24"/>
            <w:szCs w:val="24"/>
            <w:u w:val="none"/>
          </w:rPr>
          <w:t>bazhan.bazhan@yandex.ru</w:t>
        </w:r>
      </w:hyperlink>
    </w:p>
    <w:p w:rsidR="00A73505" w:rsidRDefault="00A73505" w:rsidP="009901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 xml:space="preserve">Геморрагический </w:t>
      </w:r>
      <w:proofErr w:type="spellStart"/>
      <w:r w:rsidRPr="00661C6A">
        <w:rPr>
          <w:rFonts w:ascii="Times New Roman" w:hAnsi="Times New Roman" w:cs="Times New Roman"/>
          <w:b/>
          <w:sz w:val="24"/>
          <w:szCs w:val="24"/>
        </w:rPr>
        <w:t>васкулит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—это системное заболевание, вызванное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генерализова</w:t>
      </w:r>
      <w:bookmarkStart w:id="0" w:name="_GoBack"/>
      <w:bookmarkEnd w:id="0"/>
      <w:r w:rsidRPr="00661C6A"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воспалением мелких сосудов,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мелких капилляров, а также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периваскулярный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отек с клеточной инфильтрацией нейтрофилами и эритроцитами, клинические </w:t>
      </w:r>
      <w:proofErr w:type="gramStart"/>
      <w:r w:rsidRPr="00661C6A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661C6A">
        <w:rPr>
          <w:rFonts w:ascii="Times New Roman" w:hAnsi="Times New Roman" w:cs="Times New Roman"/>
          <w:sz w:val="24"/>
          <w:szCs w:val="24"/>
        </w:rPr>
        <w:t xml:space="preserve"> которого чаще бывают острыми с одновременным возникновением целого ряда симптомов: характерной сыпи, иногда сопровождающиеся ангионевротическими отеками, суставного синдрома, абдоминального синдрома и поражением почек с разной частотой и степенью.</w:t>
      </w:r>
    </w:p>
    <w:p w:rsidR="00D64A9C" w:rsidRPr="00661C6A" w:rsidRDefault="00D64A9C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66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триггерные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факторы, </w:t>
      </w:r>
      <w:proofErr w:type="gramStart"/>
      <w:r w:rsidRPr="00661C6A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61C6A">
        <w:rPr>
          <w:rFonts w:ascii="Times New Roman" w:hAnsi="Times New Roman" w:cs="Times New Roman"/>
          <w:sz w:val="24"/>
          <w:szCs w:val="24"/>
        </w:rPr>
        <w:t xml:space="preserve">гемолитический стрептококк, вирус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Эпштейна-Барр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r w:rsidR="00471C08" w:rsidRPr="00661C6A">
        <w:rPr>
          <w:rFonts w:ascii="Times New Roman" w:hAnsi="Times New Roman" w:cs="Times New Roman"/>
          <w:sz w:val="24"/>
          <w:szCs w:val="24"/>
        </w:rPr>
        <w:t xml:space="preserve">эндогенный, </w:t>
      </w:r>
      <w:proofErr w:type="spellStart"/>
      <w:r w:rsidR="00471C08" w:rsidRPr="00661C6A">
        <w:rPr>
          <w:rFonts w:ascii="Times New Roman" w:hAnsi="Times New Roman" w:cs="Times New Roman"/>
          <w:sz w:val="24"/>
          <w:szCs w:val="24"/>
        </w:rPr>
        <w:t>гиперергический</w:t>
      </w:r>
      <w:proofErr w:type="spellEnd"/>
      <w:r w:rsidR="00471C08" w:rsidRPr="00661C6A">
        <w:rPr>
          <w:rFonts w:ascii="Times New Roman" w:hAnsi="Times New Roman" w:cs="Times New Roman"/>
          <w:sz w:val="24"/>
          <w:szCs w:val="24"/>
        </w:rPr>
        <w:t>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>Этиологические аспекты изучены не до конца, известно лишь, что в большинстве случаев патология носит инфекционно-аллергическую природу. С</w:t>
      </w:r>
      <w:r w:rsidR="00D64A9C" w:rsidRPr="00661C6A">
        <w:rPr>
          <w:rFonts w:ascii="Times New Roman" w:hAnsi="Times New Roman" w:cs="Times New Roman"/>
          <w:sz w:val="24"/>
          <w:szCs w:val="24"/>
        </w:rPr>
        <w:t>уществует сезонная зависимость,</w:t>
      </w:r>
      <w:r w:rsidRPr="00661C6A">
        <w:rPr>
          <w:rFonts w:ascii="Times New Roman" w:hAnsi="Times New Roman" w:cs="Times New Roman"/>
          <w:sz w:val="24"/>
          <w:szCs w:val="24"/>
        </w:rPr>
        <w:t xml:space="preserve"> наибольшая заболеваемость регистрируется в сырое и холодное время года. Многолетние наблюдения позволили выявить общие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триггерные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факторы, предшествующие развитию клинических проявлений. К их числу относят:</w:t>
      </w:r>
    </w:p>
    <w:p w:rsidR="009901CE" w:rsidRPr="00661C6A" w:rsidRDefault="009901CE" w:rsidP="00661C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Инфекционные заболевания. У большинства заболевших манифестации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предшествует острая инфекция дыхательных путей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трахеобронхит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тонзиллит,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ринофарингит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). Наиболее часто из смывов носоглотки удается выделить </w:t>
      </w:r>
      <w:proofErr w:type="gramStart"/>
      <w:r w:rsidRPr="00661C6A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61C6A">
        <w:rPr>
          <w:rFonts w:ascii="Times New Roman" w:hAnsi="Times New Roman" w:cs="Times New Roman"/>
          <w:sz w:val="24"/>
          <w:szCs w:val="24"/>
        </w:rPr>
        <w:t xml:space="preserve">гемолитический стрептококк, золотистый стафилококк, кишечную палочку, аденовирус, ВПГ 1 и 2 типов. Меньшая часть больных детей инфицирована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цитомегаловирусом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вирусом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Эпштейна-Барр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хламидиями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, микобактериями туберкулеза, вирусом гепатита В.</w:t>
      </w:r>
    </w:p>
    <w:p w:rsidR="009901CE" w:rsidRPr="00661C6A" w:rsidRDefault="009901CE" w:rsidP="00661C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Лекарственная терапия. В ревматологии имеются сообщения о развитии геморрагического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на фоне использования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фармакопрепаратов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: антибиотиков (пенициллинов,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), НПВС, антиаритмических средств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хинидин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). Спровоцировать явления аллергической пурпуры может профилактическая вакцинация, проведенная сразу после перенесенной ОРВИ.</w:t>
      </w:r>
    </w:p>
    <w:p w:rsidR="009901CE" w:rsidRPr="00661C6A" w:rsidRDefault="009901CE" w:rsidP="00661C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Аллергическая отягощенность. В анамнезе пациентов с ГВ нередко имеются указания на наличие различных видов аллергии (медикаментозной, пищевой,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). Больные часто страдают аллергическим дерматитом, поллинозом, аллергическим ринитом или проявлениями экссудативно-катарального диатеза.</w:t>
      </w:r>
    </w:p>
    <w:p w:rsidR="009901CE" w:rsidRPr="00661C6A" w:rsidRDefault="009901CE" w:rsidP="00661C6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>Другие эндогенные и внешние причины. В числе производящих факторов может выступать переохлаждение, избыточная инсоляция, укусы насекомых, травмы. У некоторых больных манифестация заболевания наступает на фоне беременности, сахарного диабета, злокачественных опухолей, цирроза печени.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Во многих наблюдениях причинный фактор, вызвавший возникновение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установить не удается. Ряд авторов высказывает предположение, что воздействие провоцирующих факторов приводит к развитию геморрагического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лишь в тех случаях, когда оно осуществляется на фоне генетической предрасположенности организма к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гиперергическим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иммунным реакциям.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Проводя диагностику, ревматолог учитывает возраст пациента, изучает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этиофакторы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, сопоставляет клинические и лабораторные данные, исключает другие заболевания. При развитии почечного синдрома пациенту необходима консультация нефролога, при наличии абдоминальных болей - консультация гастроэнтеролога и хирурга. Диагностическая панель включает: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lastRenderedPageBreak/>
        <w:t>Гематологические тесты</w:t>
      </w:r>
      <w:r w:rsidRPr="00661C6A">
        <w:rPr>
          <w:rFonts w:ascii="Times New Roman" w:hAnsi="Times New Roman" w:cs="Times New Roman"/>
          <w:sz w:val="24"/>
          <w:szCs w:val="24"/>
        </w:rPr>
        <w:t>. В общем анализе крови, как правило, отмечаются неспецифические признаки умеренного воспаления (лейкоцитоз и небольшое повышение СОЭ), увеличение количества тромбоцитов и эозинофилов. Биохимический анализ крови показывает увеличение иммуноглобулина</w:t>
      </w:r>
      <w:proofErr w:type="gramStart"/>
      <w:r w:rsidRPr="00661C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1C6A">
        <w:rPr>
          <w:rFonts w:ascii="Times New Roman" w:hAnsi="Times New Roman" w:cs="Times New Roman"/>
          <w:sz w:val="24"/>
          <w:szCs w:val="24"/>
        </w:rPr>
        <w:t xml:space="preserve"> и СРБ. Большое диагностическое значение имеют результаты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коагулограммы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. Отсутствие в ней данных за нарушение свертывания при наличии клинических признаков геморрагического синдрома свидетельствует в пользу ГВ.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Анализы мочи и кала</w:t>
      </w:r>
      <w:r w:rsidRPr="00661C6A">
        <w:rPr>
          <w:rFonts w:ascii="Times New Roman" w:hAnsi="Times New Roman" w:cs="Times New Roman"/>
          <w:sz w:val="24"/>
          <w:szCs w:val="24"/>
        </w:rPr>
        <w:t xml:space="preserve">. В анализе мочи выявляется гематурия, протеинурия,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. Пациентам с почечным синдромом показан мониторинг изменений в анализе мочи, проведение биохимии мочи, пробы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Нечипоренко. Для диагностики скрытого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ЖКТ-кровотечения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производят анализ кала на скрытую кровь.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Инструментальную диагностику</w:t>
      </w:r>
      <w:r w:rsidRPr="00661C6A">
        <w:rPr>
          <w:rFonts w:ascii="Times New Roman" w:hAnsi="Times New Roman" w:cs="Times New Roman"/>
          <w:sz w:val="24"/>
          <w:szCs w:val="24"/>
        </w:rPr>
        <w:t>. С целью оценки состояния органов-мишеней выполняется УЗИ почек, УЗДГ почечных сосудов. Для исключения органических причин кровотечения из пищеварительного тракта и бронхов целесообразно проведение УЗИ брюшной полости, гастроскопии, бронхоскопии.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Биопсию с гистологией</w:t>
      </w:r>
      <w:r w:rsidRPr="00661C6A">
        <w:rPr>
          <w:rFonts w:ascii="Times New Roman" w:hAnsi="Times New Roman" w:cs="Times New Roman"/>
          <w:sz w:val="24"/>
          <w:szCs w:val="24"/>
        </w:rPr>
        <w:t xml:space="preserve">. В тяжелых диагностических случаях показана биопсия кожи или почек. Гистологическое исследование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выявляет характерные изменения: отложения иммуноглобулина</w:t>
      </w:r>
      <w:proofErr w:type="gramStart"/>
      <w:r w:rsidRPr="00661C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1C6A">
        <w:rPr>
          <w:rFonts w:ascii="Times New Roman" w:hAnsi="Times New Roman" w:cs="Times New Roman"/>
          <w:sz w:val="24"/>
          <w:szCs w:val="24"/>
        </w:rPr>
        <w:t xml:space="preserve"> и ЦИК на эндотелии и в толще сосудистой стенки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венул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артериол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и капилляров; образование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микротромбов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; выход элементов крови за пределы сосуда.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C6A">
        <w:rPr>
          <w:rFonts w:ascii="Times New Roman" w:hAnsi="Times New Roman" w:cs="Times New Roman"/>
          <w:sz w:val="24"/>
          <w:szCs w:val="24"/>
        </w:rPr>
        <w:t xml:space="preserve">Абдоминальную форму геморрагического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следует дифференцировать от других причин, обуславливающих появление симптомов «острого живота»: аппендицита,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язвы желудка, острого холецистита, панкреатита, перфорации кишечника при язвенном колите др. Также необходимо исключить тромбоцитопеническую пурпуру, геморрагический синдром при инфекционных заболеваниях (геморрагических лихорадках, гриппе), лейкоз,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артрит, болезнь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Стилла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острый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системные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6A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В острой фазе геморрагического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васкулита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пациентам необходимо соблюдать постельный режим и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гипоаллергенную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диету, ограничить употребление жидкости и соли, исключить прием антибиотиков и других медикаментов, которые могут усиливать сенсибилизацию организма. Основные направления терапии зависят от клинических проявлений, поэтому их целесообразно рассматривать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посиндромно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:</w:t>
      </w:r>
    </w:p>
    <w:p w:rsidR="009901CE" w:rsidRPr="00661C6A" w:rsidRDefault="009901CE" w:rsidP="00661C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При любых синдромах. Основу базисной терапии при всех формах ГВ составляет назначение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дезагрегантов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дипиридамола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пентоксифиллина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) и активаторов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(никотиновой кислоты). Препараты этих групп препятствуют агрегации тромбоцитов, улучшают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микроциркуляцию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и внутритканевую перфузию. Часто в базисную схему включают гепарин и другие антикоагулянты.</w:t>
      </w:r>
    </w:p>
    <w:p w:rsidR="009901CE" w:rsidRPr="00661C6A" w:rsidRDefault="009901CE" w:rsidP="00661C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При кожном синдроме. Терапия предполагает применение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сульфасалазина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колхицина. Использование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до сих пор является спорным вопросом среди врачей. Возможно его назначение в тяжелых случаях ГВ. При отсутствии эффекта от терапии кортикостероидами препаратами запаса являются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цитостатики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.</w:t>
      </w:r>
    </w:p>
    <w:p w:rsidR="009901CE" w:rsidRPr="00661C6A" w:rsidRDefault="009901CE" w:rsidP="00661C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>При суставном синдроме. Выраженные артралгии купируются проведением противовоспалительной терапии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индометацин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ибупрофен). Дополнительно могут назначаться производные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аминохинолина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хлорохин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).</w:t>
      </w:r>
    </w:p>
    <w:p w:rsidR="009901CE" w:rsidRPr="00661C6A" w:rsidRDefault="009901CE" w:rsidP="00661C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При почечном синдроме. Назначаются высокие дозы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глюкокортикоидов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цитостатиков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. Возможно использование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иАПФ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антагонистов рецепторов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ангиотензина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II, введение нормального человеческого иммуноглобулина, проведение электрофореза с никотиновой кислотой и гепарином на область почек. В терминальной стадии ХПН требуется гемодиализ или трансплантация почки.</w:t>
      </w:r>
    </w:p>
    <w:p w:rsidR="009901CE" w:rsidRPr="00661C6A" w:rsidRDefault="009901CE" w:rsidP="00661C6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При абдоминальном синдроме. Интенсивный болевой синдром служит показанием к внутривенному введению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преднизолона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реополиглюкина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кристаллоидов. При развитии </w:t>
      </w:r>
      <w:r w:rsidRPr="00661C6A">
        <w:rPr>
          <w:rFonts w:ascii="Times New Roman" w:hAnsi="Times New Roman" w:cs="Times New Roman"/>
          <w:sz w:val="24"/>
          <w:szCs w:val="24"/>
        </w:rPr>
        <w:lastRenderedPageBreak/>
        <w:t>хирургических осложнений (перфорация, инвагинация кишки) применяется хирургическая тактика.</w:t>
      </w:r>
    </w:p>
    <w:p w:rsidR="009901CE" w:rsidRPr="00661C6A" w:rsidRDefault="009901CE" w:rsidP="00661C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6A">
        <w:rPr>
          <w:rFonts w:ascii="Times New Roman" w:hAnsi="Times New Roman" w:cs="Times New Roman"/>
          <w:sz w:val="24"/>
          <w:szCs w:val="24"/>
        </w:rPr>
        <w:t xml:space="preserve">Тяжелое течение заболевания является показанием для проведения экстракорпоральной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гемокоррекции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гемосорбция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иммуносорбция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 xml:space="preserve">). Многие авторы отмечают неэффективность антигистаминных препаратов в лечении ГВ. Однако их применение может быть оправдано у пациентов с аллергическим анамнезом. При связи заболевания с пищевой аллергией и наличием абдоминального синдрома дополнительно назначаются </w:t>
      </w:r>
      <w:proofErr w:type="spellStart"/>
      <w:r w:rsidRPr="00661C6A">
        <w:rPr>
          <w:rFonts w:ascii="Times New Roman" w:hAnsi="Times New Roman" w:cs="Times New Roman"/>
          <w:sz w:val="24"/>
          <w:szCs w:val="24"/>
        </w:rPr>
        <w:t>энтеросорбенты</w:t>
      </w:r>
      <w:proofErr w:type="spellEnd"/>
      <w:r w:rsidRPr="00661C6A">
        <w:rPr>
          <w:rFonts w:ascii="Times New Roman" w:hAnsi="Times New Roman" w:cs="Times New Roman"/>
          <w:sz w:val="24"/>
          <w:szCs w:val="24"/>
        </w:rPr>
        <w:t>.</w:t>
      </w:r>
    </w:p>
    <w:p w:rsidR="00124E22" w:rsidRPr="00661C6A" w:rsidRDefault="00124E22" w:rsidP="00661C6A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</w:p>
    <w:sectPr w:rsidR="00124E22" w:rsidRPr="00661C6A" w:rsidSect="00661C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D18"/>
    <w:multiLevelType w:val="hybridMultilevel"/>
    <w:tmpl w:val="5D76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D84"/>
    <w:multiLevelType w:val="hybridMultilevel"/>
    <w:tmpl w:val="2CF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1CE"/>
    <w:rsid w:val="00124E22"/>
    <w:rsid w:val="00471C08"/>
    <w:rsid w:val="00661C6A"/>
    <w:rsid w:val="00774337"/>
    <w:rsid w:val="0084000C"/>
    <w:rsid w:val="00946B9A"/>
    <w:rsid w:val="009901CE"/>
    <w:rsid w:val="00A73505"/>
    <w:rsid w:val="00D6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C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73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zhan.baz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7</cp:revision>
  <dcterms:created xsi:type="dcterms:W3CDTF">2022-05-16T07:57:00Z</dcterms:created>
  <dcterms:modified xsi:type="dcterms:W3CDTF">2023-10-02T09:22:00Z</dcterms:modified>
</cp:coreProperties>
</file>