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FD" w:rsidRDefault="00D733FD" w:rsidP="00D7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Аутоимунная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анемия</w:t>
      </w:r>
    </w:p>
    <w:p w:rsidR="007E0F99" w:rsidRPr="007E0F99" w:rsidRDefault="00197587" w:rsidP="007E0F99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F99">
        <w:rPr>
          <w:rFonts w:ascii="Times New Roman" w:hAnsi="Times New Roman" w:cs="Times New Roman"/>
          <w:i/>
          <w:sz w:val="24"/>
          <w:szCs w:val="24"/>
        </w:rPr>
        <w:t>Бажанов Владимир Владимирович</w:t>
      </w:r>
      <w:r w:rsidR="007E0F99" w:rsidRPr="007E0F99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E0F99" w:rsidRPr="007E0F99" w:rsidRDefault="007E0F99" w:rsidP="007E0F99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F99">
        <w:rPr>
          <w:rFonts w:ascii="Times New Roman" w:hAnsi="Times New Roman" w:cs="Times New Roman"/>
          <w:i/>
          <w:sz w:val="24"/>
          <w:szCs w:val="24"/>
        </w:rPr>
        <w:t xml:space="preserve">преподаватель специальных дисциплин </w:t>
      </w:r>
    </w:p>
    <w:p w:rsidR="007E0F99" w:rsidRPr="007E0F99" w:rsidRDefault="00197587" w:rsidP="007E0F99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0F99">
        <w:rPr>
          <w:rFonts w:ascii="Times New Roman" w:hAnsi="Times New Roman" w:cs="Times New Roman"/>
          <w:i/>
          <w:sz w:val="24"/>
          <w:szCs w:val="24"/>
        </w:rPr>
        <w:t>ГБПОУ «</w:t>
      </w:r>
      <w:proofErr w:type="spellStart"/>
      <w:r w:rsidRPr="007E0F99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7E0F99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</w:t>
      </w:r>
    </w:p>
    <w:p w:rsidR="00197587" w:rsidRPr="007E0F99" w:rsidRDefault="00197587" w:rsidP="007E0F99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F9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7E0F99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</w:rPr>
          <w:t>bazhan.bazhan@yandex.ru</w:t>
        </w:r>
      </w:hyperlink>
    </w:p>
    <w:p w:rsidR="00197587" w:rsidRPr="007E0F99" w:rsidRDefault="00197587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3FD" w:rsidRPr="007E0F99" w:rsidRDefault="00D733FD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b/>
          <w:sz w:val="24"/>
          <w:szCs w:val="24"/>
        </w:rPr>
        <w:t>Аутоиммунные гемолитические анемии</w:t>
      </w:r>
      <w:r w:rsidRPr="007E0F99">
        <w:rPr>
          <w:rFonts w:ascii="Times New Roman" w:hAnsi="Times New Roman" w:cs="Times New Roman"/>
          <w:sz w:val="24"/>
          <w:szCs w:val="24"/>
        </w:rPr>
        <w:t xml:space="preserve"> (АИГА) — гетерогенная группа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аутоагрессивных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заболеваний и синдромов, обусловленных разрушением эритроцитов, которое вызвано неконтролируемой продукцией антител против собственных эритроцитов. АИГА встречаются с частотой от 1:41 000 до 1:80 000 в любых возрастных группах; соотношение женщин и мужчин составляет 2:1.</w:t>
      </w:r>
    </w:p>
    <w:p w:rsidR="00BA4D8B" w:rsidRPr="007E0F99" w:rsidRDefault="00BA4D8B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99">
        <w:rPr>
          <w:rFonts w:ascii="Times New Roman" w:hAnsi="Times New Roman" w:cs="Times New Roman"/>
          <w:b/>
          <w:sz w:val="24"/>
          <w:szCs w:val="24"/>
        </w:rPr>
        <w:t>Ключевае</w:t>
      </w:r>
      <w:proofErr w:type="spellEnd"/>
      <w:r w:rsidRPr="007E0F99">
        <w:rPr>
          <w:rFonts w:ascii="Times New Roman" w:hAnsi="Times New Roman" w:cs="Times New Roman"/>
          <w:b/>
          <w:sz w:val="24"/>
          <w:szCs w:val="24"/>
        </w:rPr>
        <w:t xml:space="preserve"> слова: </w:t>
      </w:r>
      <w:r w:rsidRPr="007E0F99">
        <w:rPr>
          <w:rFonts w:ascii="Times New Roman" w:hAnsi="Times New Roman" w:cs="Times New Roman"/>
          <w:sz w:val="24"/>
          <w:szCs w:val="24"/>
        </w:rPr>
        <w:t xml:space="preserve">гетерогенный,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аутоагрессивный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, гемолиз,</w:t>
      </w:r>
      <w:r w:rsidR="00D9277C" w:rsidRPr="007E0F99">
        <w:rPr>
          <w:rFonts w:ascii="Times New Roman" w:hAnsi="Times New Roman" w:cs="Times New Roman"/>
          <w:sz w:val="24"/>
          <w:szCs w:val="24"/>
        </w:rPr>
        <w:t xml:space="preserve"> агглютинация, </w:t>
      </w:r>
      <w:proofErr w:type="spellStart"/>
      <w:r w:rsidR="00D9277C" w:rsidRPr="007E0F99">
        <w:rPr>
          <w:rFonts w:ascii="Times New Roman" w:hAnsi="Times New Roman" w:cs="Times New Roman"/>
          <w:sz w:val="24"/>
          <w:szCs w:val="24"/>
        </w:rPr>
        <w:t>сплен</w:t>
      </w:r>
      <w:proofErr w:type="gramStart"/>
      <w:r w:rsidR="00D9277C" w:rsidRPr="007E0F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9277C" w:rsidRPr="007E0F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9277C" w:rsidRPr="007E0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277C" w:rsidRPr="007E0F99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="00D9277C" w:rsidRPr="007E0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E7B" w:rsidRPr="007E0F99">
        <w:rPr>
          <w:rFonts w:ascii="Times New Roman" w:hAnsi="Times New Roman" w:cs="Times New Roman"/>
          <w:sz w:val="24"/>
          <w:szCs w:val="24"/>
        </w:rPr>
        <w:t>гемолизирующий</w:t>
      </w:r>
      <w:proofErr w:type="spellEnd"/>
      <w:r w:rsidR="00220E7B" w:rsidRPr="007E0F99">
        <w:rPr>
          <w:rFonts w:ascii="Times New Roman" w:hAnsi="Times New Roman" w:cs="Times New Roman"/>
          <w:sz w:val="24"/>
          <w:szCs w:val="24"/>
        </w:rPr>
        <w:t>.</w:t>
      </w:r>
    </w:p>
    <w:p w:rsidR="00D733FD" w:rsidRPr="007E0F99" w:rsidRDefault="00D733FD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Этиопатогенетическую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основу наследственных гемолитических синдромов составляют генетические дефекты мембран эритроцитов, их ферментных систем либо структуры гемоглобина. Данные предпосылки обусловливают морфофункциональную неполноценность эритроцитов и их повышенное разрушение. Гемолиз эритроцитов при приобретенных анемиях наступает под влиянием внутренних факторов или факторов окружающей среды, среди которых:</w:t>
      </w:r>
    </w:p>
    <w:p w:rsidR="00D733FD" w:rsidRPr="007E0F99" w:rsidRDefault="00D733FD" w:rsidP="007E0F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b/>
          <w:sz w:val="24"/>
          <w:szCs w:val="24"/>
        </w:rPr>
        <w:t>Аутоиммунные процессы</w:t>
      </w:r>
      <w:r w:rsidRPr="007E0F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0F99">
        <w:rPr>
          <w:rFonts w:ascii="Times New Roman" w:hAnsi="Times New Roman" w:cs="Times New Roman"/>
          <w:sz w:val="24"/>
          <w:szCs w:val="24"/>
        </w:rPr>
        <w:t xml:space="preserve">Образование антител, агглютинирующих эритроциты, возможно при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гемобластозах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(остром лейкозе, хроническом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лимфолейкозе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, лимфогранулематозе), аутоиммунной патологии (СКВ, неспецифическом язвенном колите), инфекционных заболеваниях (инфекционном мононуклеозе, токсоплазмозе, сифилисе, вирусной пневмонии).</w:t>
      </w:r>
      <w:proofErr w:type="gramEnd"/>
      <w:r w:rsidRPr="007E0F99">
        <w:rPr>
          <w:rFonts w:ascii="Times New Roman" w:hAnsi="Times New Roman" w:cs="Times New Roman"/>
          <w:sz w:val="24"/>
          <w:szCs w:val="24"/>
        </w:rPr>
        <w:t xml:space="preserve"> Развитию иммунных гемолитических анемий могут способствовать посттрансфузионные реакции, профилактическая вакцинация, гемолитическая болезнь плода.</w:t>
      </w:r>
    </w:p>
    <w:p w:rsidR="00D733FD" w:rsidRPr="007E0F99" w:rsidRDefault="00D733FD" w:rsidP="007E0F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b/>
          <w:sz w:val="24"/>
          <w:szCs w:val="24"/>
        </w:rPr>
        <w:t>Токсическое действие на эритроциты</w:t>
      </w:r>
      <w:r w:rsidRPr="007E0F99">
        <w:rPr>
          <w:rFonts w:ascii="Times New Roman" w:hAnsi="Times New Roman" w:cs="Times New Roman"/>
          <w:sz w:val="24"/>
          <w:szCs w:val="24"/>
        </w:rPr>
        <w:t xml:space="preserve">. В ряде случаев острому внутрисосудистому гемолизу предшествует отравление мышьяковистыми соединениями, тяжелыми металлами, уксусной кислотой, грибными ядами, алкоголем и др. Вызывать разрушение клеток крови может прием определенных лекарств (противомалярийных препаратов, сульфаниламидов, производных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нитрофуранового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ряда, анальгетиков).</w:t>
      </w:r>
    </w:p>
    <w:p w:rsidR="00D733FD" w:rsidRPr="007E0F99" w:rsidRDefault="00D733FD" w:rsidP="007E0F9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b/>
          <w:sz w:val="24"/>
          <w:szCs w:val="24"/>
        </w:rPr>
        <w:t>Механическое повреждение эритроцитов.</w:t>
      </w:r>
      <w:r w:rsidRPr="007E0F99">
        <w:rPr>
          <w:rFonts w:ascii="Times New Roman" w:hAnsi="Times New Roman" w:cs="Times New Roman"/>
          <w:sz w:val="24"/>
          <w:szCs w:val="24"/>
        </w:rPr>
        <w:t xml:space="preserve"> Гемолиз эритроцитов может наблюдаться при тяжелых физических нагрузках (длительной ходьбе, беге, лыжном переходе), при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ДВС-синдроме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, малярии, злокачественной артериальной гипертензии, протезировании клапанов сердца и сосудов, проведении гипербарической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оксигенации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, сепсисе, обширных ожогах. В этих случаях под действием тех или иных факторов происходит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травматизация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и разрыв мембран изначально полноценных эритроцитов.</w:t>
      </w:r>
    </w:p>
    <w:p w:rsidR="00D733FD" w:rsidRPr="007E0F99" w:rsidRDefault="00D733FD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D733FD" w:rsidRPr="007E0F99" w:rsidRDefault="00D733FD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sz w:val="24"/>
          <w:szCs w:val="24"/>
        </w:rPr>
        <w:t xml:space="preserve">Определение формы </w:t>
      </w:r>
      <w:proofErr w:type="gramStart"/>
      <w:r w:rsidRPr="007E0F99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7E0F99">
        <w:rPr>
          <w:rFonts w:ascii="Times New Roman" w:hAnsi="Times New Roman" w:cs="Times New Roman"/>
          <w:sz w:val="24"/>
          <w:szCs w:val="24"/>
        </w:rPr>
        <w:t xml:space="preserve"> на основе анализа причин, симптоматики и объективных данных относится к компетенции гематолога. При первичной беседе выясняется семейный анамнез, частота и тяжесть протекания гемолитических кризов. В процессе осмотра оценивается окраска кожных покровов, склер и видимых слизистых, производится пальпация живота для оценки величины печени и селезенки.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Сплен</w:t>
      </w:r>
      <w:proofErr w:type="gramStart"/>
      <w:r w:rsidRPr="007E0F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0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подтверждается при проведении УЗИ печени и селезенки. Лабораторный диагностический компле</w:t>
      </w:r>
      <w:proofErr w:type="gramStart"/>
      <w:r w:rsidRPr="007E0F99">
        <w:rPr>
          <w:rFonts w:ascii="Times New Roman" w:hAnsi="Times New Roman" w:cs="Times New Roman"/>
          <w:sz w:val="24"/>
          <w:szCs w:val="24"/>
        </w:rPr>
        <w:t>кс вкл</w:t>
      </w:r>
      <w:proofErr w:type="gramEnd"/>
      <w:r w:rsidRPr="007E0F99">
        <w:rPr>
          <w:rFonts w:ascii="Times New Roman" w:hAnsi="Times New Roman" w:cs="Times New Roman"/>
          <w:sz w:val="24"/>
          <w:szCs w:val="24"/>
        </w:rPr>
        <w:t>ючает:</w:t>
      </w:r>
    </w:p>
    <w:p w:rsidR="00D733FD" w:rsidRPr="007E0F99" w:rsidRDefault="00D733FD" w:rsidP="007E0F9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b/>
          <w:sz w:val="24"/>
          <w:szCs w:val="24"/>
        </w:rPr>
        <w:t>Исследование крови</w:t>
      </w:r>
      <w:r w:rsidRPr="007E0F99">
        <w:rPr>
          <w:rFonts w:ascii="Times New Roman" w:hAnsi="Times New Roman" w:cs="Times New Roman"/>
          <w:sz w:val="24"/>
          <w:szCs w:val="24"/>
        </w:rPr>
        <w:t xml:space="preserve">. Изменения в гемограмме характеризуются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7E0F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0F99">
        <w:rPr>
          <w:rFonts w:ascii="Times New Roman" w:hAnsi="Times New Roman" w:cs="Times New Roman"/>
          <w:sz w:val="24"/>
          <w:szCs w:val="24"/>
        </w:rPr>
        <w:t xml:space="preserve"> или гипохромной анемией, лейкопенией, тромбоцитопенией,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ретикулоцитозом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, ускорением СОЭ. В биохимических пробах крови определяется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гипербилирубинемия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(увеличение фракции непрямого билирубина), увеличение активности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лактатдегидрогеназы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. При аутоиммунных анемиях большое диагностическое значение имеет положительная проба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Кумбса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.</w:t>
      </w:r>
    </w:p>
    <w:p w:rsidR="00D733FD" w:rsidRPr="007E0F99" w:rsidRDefault="00D733FD" w:rsidP="007E0F9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b/>
          <w:sz w:val="24"/>
          <w:szCs w:val="24"/>
        </w:rPr>
        <w:lastRenderedPageBreak/>
        <w:t>Анализы мочи и кала</w:t>
      </w:r>
      <w:r w:rsidRPr="007E0F99">
        <w:rPr>
          <w:rFonts w:ascii="Times New Roman" w:hAnsi="Times New Roman" w:cs="Times New Roman"/>
          <w:sz w:val="24"/>
          <w:szCs w:val="24"/>
        </w:rPr>
        <w:t xml:space="preserve">. Исследование мочи выявляет протеинурию,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уробилинурию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гемосидеринурию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, гемоглобинурию. В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копрограмме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повышено содержание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стеркобилина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.</w:t>
      </w:r>
    </w:p>
    <w:p w:rsidR="00D733FD" w:rsidRPr="007E0F99" w:rsidRDefault="00D733FD" w:rsidP="007E0F9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F99">
        <w:rPr>
          <w:rFonts w:ascii="Times New Roman" w:hAnsi="Times New Roman" w:cs="Times New Roman"/>
          <w:b/>
          <w:sz w:val="24"/>
          <w:szCs w:val="24"/>
        </w:rPr>
        <w:t>Миелограмму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. Для цитологического подтверждения выполняется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стернальная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пункция. Исследование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пунктата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костного мозга обнаруживает гиперплазию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эритроидного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ростка.</w:t>
      </w:r>
    </w:p>
    <w:p w:rsidR="00D733FD" w:rsidRPr="007E0F99" w:rsidRDefault="00D733FD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sz w:val="24"/>
          <w:szCs w:val="24"/>
        </w:rPr>
        <w:t xml:space="preserve">В процессе дифференциальной диагностики исключаются гепатиты, цирроз печени, портальная гипертензия,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гепатолиенальный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синдром,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порфирии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гемобластозы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. Пациента консультируют гастроэнтеролог, клинический фармаколог, инфекционист и другие специалисты.</w:t>
      </w:r>
    </w:p>
    <w:p w:rsidR="00D733FD" w:rsidRPr="007E0F99" w:rsidRDefault="00D733FD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D733FD" w:rsidRPr="007E0F99" w:rsidRDefault="00D733FD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sz w:val="24"/>
          <w:szCs w:val="24"/>
        </w:rPr>
        <w:t xml:space="preserve">Различные формы </w:t>
      </w:r>
      <w:proofErr w:type="gramStart"/>
      <w:r w:rsidRPr="007E0F99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7E0F99">
        <w:rPr>
          <w:rFonts w:ascii="Times New Roman" w:hAnsi="Times New Roman" w:cs="Times New Roman"/>
          <w:sz w:val="24"/>
          <w:szCs w:val="24"/>
        </w:rPr>
        <w:t xml:space="preserve"> имеют свои особенности и подходы к лечению. При всех вариантах приобретенной гемолитической анемии необходимо позаботиться об устранении влияния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гемолизирующих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факторов. Во время гемолитических кризов больным необходимы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растворов, плазмы крови; витаминотерапия, по необходимости –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гормон</w:t>
      </w:r>
      <w:proofErr w:type="gramStart"/>
      <w:r w:rsidRPr="007E0F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0F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антибиотикотерапия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микросфероцитозе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 единственно эффективным методом, приводящим к 100 % прекращению гемолиза, является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спленэктомия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.</w:t>
      </w:r>
    </w:p>
    <w:p w:rsidR="00D733FD" w:rsidRPr="007E0F99" w:rsidRDefault="00D733FD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99">
        <w:rPr>
          <w:rFonts w:ascii="Times New Roman" w:hAnsi="Times New Roman" w:cs="Times New Roman"/>
          <w:sz w:val="24"/>
          <w:szCs w:val="24"/>
        </w:rPr>
        <w:t>При аутоиммунной анемии показана терапия глюкокортикоидными гормонами (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преднизолоном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), сокращающая или прекращающая гемолиз. В некоторых случаях требуемый эффект достигается назначением иммунодепрессантов (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азатиоприна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, 6-меркаптопурина,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хлорамбуцила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), противомалярийных препаратов (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хлорохина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). При резистентных к медикаментозной терапии формах аутоиммунной анемии выполняется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спленэктомия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. Лечение гемоглобинурии предполагает переливание отмытых эритроцитов,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плазмозаменителей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, назначение антикоагулянтов и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антиагрегантов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 xml:space="preserve">. Развитие токсической гемолитической анемии диктует необходимость проведения интенсивной терапии: </w:t>
      </w:r>
      <w:proofErr w:type="spellStart"/>
      <w:r w:rsidRPr="007E0F99">
        <w:rPr>
          <w:rFonts w:ascii="Times New Roman" w:hAnsi="Times New Roman" w:cs="Times New Roman"/>
          <w:sz w:val="24"/>
          <w:szCs w:val="24"/>
        </w:rPr>
        <w:t>дезинтоксикации</w:t>
      </w:r>
      <w:proofErr w:type="spellEnd"/>
      <w:r w:rsidRPr="007E0F99">
        <w:rPr>
          <w:rFonts w:ascii="Times New Roman" w:hAnsi="Times New Roman" w:cs="Times New Roman"/>
          <w:sz w:val="24"/>
          <w:szCs w:val="24"/>
        </w:rPr>
        <w:t>, форсированного диуреза, гемодиализа, по показаниям – введение антидотов.</w:t>
      </w:r>
    </w:p>
    <w:p w:rsidR="00D733FD" w:rsidRPr="007E0F99" w:rsidRDefault="00D733FD" w:rsidP="007E0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E6B" w:rsidRPr="007E0F99" w:rsidRDefault="00F77E6B" w:rsidP="007E0F9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F77E6B" w:rsidRPr="007E0F99" w:rsidSect="007E0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122"/>
    <w:multiLevelType w:val="hybridMultilevel"/>
    <w:tmpl w:val="A6A4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64F01"/>
    <w:multiLevelType w:val="hybridMultilevel"/>
    <w:tmpl w:val="3B36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3FD"/>
    <w:rsid w:val="00197587"/>
    <w:rsid w:val="00220E7B"/>
    <w:rsid w:val="00333D78"/>
    <w:rsid w:val="007E0F99"/>
    <w:rsid w:val="00A56B43"/>
    <w:rsid w:val="00B11E87"/>
    <w:rsid w:val="00BA4D8B"/>
    <w:rsid w:val="00D733FD"/>
    <w:rsid w:val="00D9277C"/>
    <w:rsid w:val="00F7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97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7</cp:revision>
  <dcterms:created xsi:type="dcterms:W3CDTF">2022-05-16T07:56:00Z</dcterms:created>
  <dcterms:modified xsi:type="dcterms:W3CDTF">2023-10-02T09:20:00Z</dcterms:modified>
</cp:coreProperties>
</file>