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645" w:rsidRPr="00F5729E" w:rsidRDefault="00F5729E" w:rsidP="00C75645">
      <w:pPr>
        <w:spacing w:after="0" w:line="240" w:lineRule="auto"/>
        <w:jc w:val="center"/>
        <w:rPr>
          <w:rFonts w:ascii="Times New Roman" w:hAnsi="Times New Roman" w:cs="Times New Roman"/>
          <w:b/>
          <w:color w:val="000000" w:themeColor="text1"/>
          <w:sz w:val="24"/>
          <w:szCs w:val="24"/>
        </w:rPr>
      </w:pPr>
      <w:r w:rsidRPr="00F5729E">
        <w:rPr>
          <w:rFonts w:ascii="Times New Roman" w:hAnsi="Times New Roman" w:cs="Times New Roman"/>
          <w:b/>
          <w:color w:val="000000" w:themeColor="text1"/>
          <w:sz w:val="24"/>
          <w:szCs w:val="24"/>
        </w:rPr>
        <w:t xml:space="preserve"> </w:t>
      </w:r>
      <w:r w:rsidR="00C75645" w:rsidRPr="00F5729E">
        <w:rPr>
          <w:rFonts w:ascii="Times New Roman" w:hAnsi="Times New Roman" w:cs="Times New Roman"/>
          <w:b/>
          <w:color w:val="000000" w:themeColor="text1"/>
          <w:sz w:val="24"/>
          <w:szCs w:val="24"/>
        </w:rPr>
        <w:t>«Влияние организации движения грузовых поездов весом 6000 тонн на пропускную способность участков железных дорог»</w:t>
      </w:r>
    </w:p>
    <w:p w:rsidR="00C26798" w:rsidRPr="00F5729E" w:rsidRDefault="00C26798" w:rsidP="00C26798">
      <w:pPr>
        <w:spacing w:after="0" w:line="240" w:lineRule="auto"/>
        <w:rPr>
          <w:rFonts w:ascii="Times New Roman" w:hAnsi="Times New Roman" w:cs="Times New Roman"/>
          <w:sz w:val="24"/>
          <w:szCs w:val="24"/>
        </w:rPr>
      </w:pPr>
    </w:p>
    <w:p w:rsidR="00092B31" w:rsidRPr="00F5729E" w:rsidRDefault="00316CA9" w:rsidP="000A4002">
      <w:pPr>
        <w:spacing w:after="0" w:line="240" w:lineRule="auto"/>
        <w:ind w:firstLine="709"/>
        <w:jc w:val="both"/>
        <w:rPr>
          <w:rFonts w:ascii="Times New Roman" w:hAnsi="Times New Roman" w:cs="Times New Roman"/>
          <w:sz w:val="24"/>
          <w:szCs w:val="24"/>
        </w:rPr>
      </w:pPr>
      <w:r w:rsidRPr="00F5729E">
        <w:rPr>
          <w:rFonts w:ascii="Times New Roman" w:hAnsi="Times New Roman" w:cs="Times New Roman"/>
          <w:sz w:val="24"/>
          <w:szCs w:val="24"/>
        </w:rPr>
        <w:t>Вождение сверхтяжеловесных поездов, так же, как и формирование составов повышенного веса и длины, увеличение весовых норм на целых направлениях, ликвидация неполновесных и неполносоставных поездов, повышение статической нагрузки вагона, сдваивание порожних составов, прицепка к каждому поезду одного-двух дополнительных в</w:t>
      </w:r>
      <w:r w:rsidR="000647DC" w:rsidRPr="00F5729E">
        <w:rPr>
          <w:rFonts w:ascii="Times New Roman" w:hAnsi="Times New Roman" w:cs="Times New Roman"/>
          <w:sz w:val="24"/>
          <w:szCs w:val="24"/>
        </w:rPr>
        <w:t>агонов направлено к одной цели -</w:t>
      </w:r>
      <w:r w:rsidRPr="00F5729E">
        <w:rPr>
          <w:rFonts w:ascii="Times New Roman" w:hAnsi="Times New Roman" w:cs="Times New Roman"/>
          <w:sz w:val="24"/>
          <w:szCs w:val="24"/>
        </w:rPr>
        <w:t xml:space="preserve"> меньшим числом поездов перевезти больше грузов.</w:t>
      </w:r>
    </w:p>
    <w:p w:rsidR="00316CA9" w:rsidRPr="00F5729E" w:rsidRDefault="00316CA9" w:rsidP="000A4002">
      <w:pPr>
        <w:spacing w:after="0" w:line="240" w:lineRule="auto"/>
        <w:ind w:firstLine="709"/>
        <w:jc w:val="both"/>
        <w:rPr>
          <w:rFonts w:ascii="Times New Roman" w:hAnsi="Times New Roman" w:cs="Times New Roman"/>
          <w:sz w:val="24"/>
          <w:szCs w:val="24"/>
        </w:rPr>
      </w:pPr>
      <w:r w:rsidRPr="00F5729E">
        <w:rPr>
          <w:rFonts w:ascii="Times New Roman" w:hAnsi="Times New Roman" w:cs="Times New Roman"/>
          <w:sz w:val="24"/>
          <w:szCs w:val="24"/>
        </w:rPr>
        <w:t>В каждом конкретном случае организация движения соединенных поездов должна быть технико-экономически обоснована. При организации регулярного обращения соединенных поездов формирование их целесообразно на технических станциях с мощными струями вагонопотоков и на грузовых, отгружающих массовые грузы маршрутами.</w:t>
      </w:r>
    </w:p>
    <w:p w:rsidR="00A003A7" w:rsidRPr="00F5729E" w:rsidRDefault="00316CA9" w:rsidP="000A4002">
      <w:pPr>
        <w:tabs>
          <w:tab w:val="left" w:pos="709"/>
        </w:tabs>
        <w:spacing w:after="0" w:line="240" w:lineRule="auto"/>
        <w:ind w:firstLine="709"/>
        <w:jc w:val="both"/>
        <w:rPr>
          <w:rFonts w:ascii="Times New Roman" w:hAnsi="Times New Roman" w:cs="Times New Roman"/>
          <w:sz w:val="24"/>
          <w:szCs w:val="24"/>
        </w:rPr>
      </w:pPr>
      <w:r w:rsidRPr="00F5729E">
        <w:rPr>
          <w:rFonts w:ascii="Times New Roman" w:hAnsi="Times New Roman" w:cs="Times New Roman"/>
          <w:sz w:val="24"/>
          <w:szCs w:val="24"/>
        </w:rPr>
        <w:t>Реконструкция в целях соединения поездов при организации их регулярного вождения может включать:</w:t>
      </w:r>
    </w:p>
    <w:p w:rsidR="00A003A7" w:rsidRPr="00F5729E" w:rsidRDefault="003A2B07" w:rsidP="003A2B07">
      <w:pPr>
        <w:tabs>
          <w:tab w:val="left" w:pos="0"/>
        </w:tabs>
        <w:spacing w:after="0" w:line="240" w:lineRule="auto"/>
        <w:ind w:firstLine="709"/>
        <w:jc w:val="both"/>
        <w:rPr>
          <w:rFonts w:ascii="Times New Roman" w:hAnsi="Times New Roman" w:cs="Times New Roman"/>
          <w:sz w:val="24"/>
          <w:szCs w:val="24"/>
        </w:rPr>
      </w:pPr>
      <w:r w:rsidRPr="00F5729E">
        <w:rPr>
          <w:rFonts w:ascii="Times New Roman" w:hAnsi="Times New Roman" w:cs="Times New Roman"/>
          <w:sz w:val="24"/>
          <w:szCs w:val="24"/>
        </w:rPr>
        <w:t>-</w:t>
      </w:r>
      <w:r w:rsidR="00316CA9" w:rsidRPr="00F5729E">
        <w:rPr>
          <w:rFonts w:ascii="Times New Roman" w:hAnsi="Times New Roman" w:cs="Times New Roman"/>
          <w:sz w:val="24"/>
          <w:szCs w:val="24"/>
        </w:rPr>
        <w:t>укладку съезда на двухпутном перегоне, позволяющего во время</w:t>
      </w:r>
      <w:r w:rsidR="00A003A7" w:rsidRPr="00F5729E">
        <w:rPr>
          <w:rFonts w:ascii="Times New Roman" w:hAnsi="Times New Roman" w:cs="Times New Roman"/>
          <w:sz w:val="24"/>
          <w:szCs w:val="24"/>
        </w:rPr>
        <w:t xml:space="preserve"> </w:t>
      </w:r>
      <w:r w:rsidR="00316CA9" w:rsidRPr="00F5729E">
        <w:rPr>
          <w:rFonts w:ascii="Times New Roman" w:hAnsi="Times New Roman" w:cs="Times New Roman"/>
          <w:sz w:val="24"/>
          <w:szCs w:val="24"/>
        </w:rPr>
        <w:t>соединения поездов на первом блок-участке удаления использовать другой путь на этом блок-участке для одностороннего или двустороннего движения;</w:t>
      </w:r>
    </w:p>
    <w:p w:rsidR="00A003A7" w:rsidRPr="00F5729E" w:rsidRDefault="003A2B07" w:rsidP="003A2B07">
      <w:pPr>
        <w:tabs>
          <w:tab w:val="left" w:pos="0"/>
        </w:tabs>
        <w:spacing w:after="0" w:line="240" w:lineRule="auto"/>
        <w:ind w:firstLine="709"/>
        <w:jc w:val="both"/>
        <w:rPr>
          <w:rFonts w:ascii="Times New Roman" w:hAnsi="Times New Roman" w:cs="Times New Roman"/>
          <w:sz w:val="24"/>
          <w:szCs w:val="24"/>
        </w:rPr>
      </w:pPr>
      <w:r w:rsidRPr="00F5729E">
        <w:rPr>
          <w:rFonts w:ascii="Times New Roman" w:hAnsi="Times New Roman" w:cs="Times New Roman"/>
          <w:sz w:val="24"/>
          <w:szCs w:val="24"/>
        </w:rPr>
        <w:t>-</w:t>
      </w:r>
      <w:r w:rsidR="00316CA9" w:rsidRPr="00F5729E">
        <w:rPr>
          <w:rFonts w:ascii="Times New Roman" w:hAnsi="Times New Roman" w:cs="Times New Roman"/>
          <w:sz w:val="24"/>
          <w:szCs w:val="24"/>
        </w:rPr>
        <w:t>удлинение одного или нескольких путей на станциях до длины соединенного поезда;</w:t>
      </w:r>
    </w:p>
    <w:p w:rsidR="00316CA9" w:rsidRPr="00F5729E" w:rsidRDefault="003A2B07" w:rsidP="003A2B07">
      <w:pPr>
        <w:tabs>
          <w:tab w:val="left" w:pos="0"/>
        </w:tabs>
        <w:spacing w:after="0" w:line="240" w:lineRule="auto"/>
        <w:ind w:firstLine="709"/>
        <w:jc w:val="both"/>
        <w:rPr>
          <w:rFonts w:ascii="Times New Roman" w:hAnsi="Times New Roman" w:cs="Times New Roman"/>
          <w:sz w:val="24"/>
          <w:szCs w:val="24"/>
        </w:rPr>
      </w:pPr>
      <w:r w:rsidRPr="00F5729E">
        <w:rPr>
          <w:rFonts w:ascii="Times New Roman" w:hAnsi="Times New Roman" w:cs="Times New Roman"/>
          <w:sz w:val="24"/>
          <w:szCs w:val="24"/>
        </w:rPr>
        <w:t>-</w:t>
      </w:r>
      <w:r w:rsidR="00316CA9" w:rsidRPr="00F5729E">
        <w:rPr>
          <w:rFonts w:ascii="Times New Roman" w:hAnsi="Times New Roman" w:cs="Times New Roman"/>
          <w:sz w:val="24"/>
          <w:szCs w:val="24"/>
        </w:rPr>
        <w:t>сооружение вставок главных путей в горловинах станций формирования и расформирования соединенных и длинносоставных поездов, которые (вставки) во время соединения и разъединения составов позволяют не останавливать движение других поездов.</w:t>
      </w:r>
    </w:p>
    <w:p w:rsidR="00A003A7" w:rsidRPr="00F5729E" w:rsidRDefault="00A003A7" w:rsidP="000A4002">
      <w:pPr>
        <w:spacing w:after="0" w:line="240" w:lineRule="auto"/>
        <w:ind w:firstLine="709"/>
        <w:jc w:val="both"/>
        <w:rPr>
          <w:rFonts w:ascii="Times New Roman" w:hAnsi="Times New Roman" w:cs="Times New Roman"/>
          <w:sz w:val="24"/>
          <w:szCs w:val="24"/>
        </w:rPr>
      </w:pPr>
      <w:r w:rsidRPr="00F5729E">
        <w:rPr>
          <w:rFonts w:ascii="Times New Roman" w:hAnsi="Times New Roman" w:cs="Times New Roman"/>
          <w:sz w:val="24"/>
          <w:szCs w:val="24"/>
        </w:rPr>
        <w:t xml:space="preserve">Установлено, что увеличение числа одинарных составов, объединенных в один поезд, сокращает наличную пропускную способность участка. Так, при одинаковой доле соединенных поездов, равной 10%, вождение строенных по сравнению с организацией движения сдвоенных поездов снижает наличную пропускную способность на четыре поезда, а вождение пяти </w:t>
      </w:r>
      <w:r w:rsidR="003A2B07" w:rsidRPr="00F5729E">
        <w:rPr>
          <w:rFonts w:ascii="Times New Roman" w:hAnsi="Times New Roman" w:cs="Times New Roman"/>
          <w:sz w:val="24"/>
          <w:szCs w:val="24"/>
        </w:rPr>
        <w:t xml:space="preserve">составов, соединенных вместе, </w:t>
      </w:r>
      <w:r w:rsidRPr="00F5729E">
        <w:rPr>
          <w:rFonts w:ascii="Times New Roman" w:hAnsi="Times New Roman" w:cs="Times New Roman"/>
          <w:sz w:val="24"/>
          <w:szCs w:val="24"/>
        </w:rPr>
        <w:t>на 9 поездов. Кроме того, увеличение доли соединенных поездов также сокращает наличную пропускную способность</w:t>
      </w:r>
      <w:r w:rsidR="000968C8" w:rsidRPr="00F5729E">
        <w:rPr>
          <w:rFonts w:ascii="Times New Roman" w:hAnsi="Times New Roman" w:cs="Times New Roman"/>
          <w:sz w:val="24"/>
          <w:szCs w:val="24"/>
        </w:rPr>
        <w:t xml:space="preserve"> [2]</w:t>
      </w:r>
      <w:r w:rsidRPr="00F5729E">
        <w:rPr>
          <w:rFonts w:ascii="Times New Roman" w:hAnsi="Times New Roman" w:cs="Times New Roman"/>
          <w:sz w:val="24"/>
          <w:szCs w:val="24"/>
        </w:rPr>
        <w:t>.</w:t>
      </w:r>
    </w:p>
    <w:p w:rsidR="00A003A7" w:rsidRPr="00F5729E" w:rsidRDefault="00B0155B" w:rsidP="000A4002">
      <w:pPr>
        <w:spacing w:after="0" w:line="240" w:lineRule="auto"/>
        <w:ind w:firstLine="709"/>
        <w:jc w:val="both"/>
        <w:rPr>
          <w:rFonts w:ascii="Times New Roman" w:hAnsi="Times New Roman" w:cs="Times New Roman"/>
          <w:sz w:val="24"/>
          <w:szCs w:val="24"/>
        </w:rPr>
      </w:pPr>
      <w:r w:rsidRPr="00F5729E">
        <w:rPr>
          <w:rFonts w:ascii="Times New Roman" w:hAnsi="Times New Roman" w:cs="Times New Roman"/>
          <w:sz w:val="24"/>
          <w:szCs w:val="24"/>
        </w:rPr>
        <w:t>Использование пропускной и провозной способности при различной структуре и плотности потока поездов для каждого конкретного участка зависит от длины участка; числа блок-участков, станций и приемо-отправочных путей на них; профиля пути; норм длины и веса поездов; мощности эксплуатируемых локомотивов и т.д. Учитывая, что на каждом участке сочетания значений этих факторов различны, влияние вождения соединенных поездов на пропускную и провозную способность устанавливается отдельно для каждого конкретного участка.</w:t>
      </w:r>
    </w:p>
    <w:p w:rsidR="00B0155B" w:rsidRPr="00F5729E" w:rsidRDefault="00B0155B" w:rsidP="000A4002">
      <w:pPr>
        <w:spacing w:after="0" w:line="240" w:lineRule="auto"/>
        <w:ind w:firstLine="709"/>
        <w:jc w:val="both"/>
        <w:rPr>
          <w:rFonts w:ascii="Times New Roman" w:hAnsi="Times New Roman" w:cs="Times New Roman"/>
          <w:sz w:val="24"/>
          <w:szCs w:val="24"/>
        </w:rPr>
      </w:pPr>
      <w:r w:rsidRPr="00F5729E">
        <w:rPr>
          <w:rFonts w:ascii="Times New Roman" w:hAnsi="Times New Roman" w:cs="Times New Roman"/>
          <w:sz w:val="24"/>
          <w:szCs w:val="24"/>
        </w:rPr>
        <w:t>Практика показывает, что внедрение прогрессивной технологии вождения соединенных поездов обеспечивает интенсификацию использования пропускной и провозной способности железных дорог, но в каждом конкретном случае организация движения таких поездов должна быть технико-экономически обоснована.</w:t>
      </w:r>
    </w:p>
    <w:p w:rsidR="00B0155B" w:rsidRPr="00F5729E" w:rsidRDefault="00B0155B" w:rsidP="000A4002">
      <w:pPr>
        <w:spacing w:after="0" w:line="240" w:lineRule="auto"/>
        <w:ind w:firstLine="709"/>
        <w:jc w:val="both"/>
        <w:rPr>
          <w:rFonts w:ascii="Times New Roman" w:hAnsi="Times New Roman" w:cs="Times New Roman"/>
          <w:sz w:val="24"/>
          <w:szCs w:val="24"/>
        </w:rPr>
      </w:pPr>
      <w:r w:rsidRPr="00F5729E">
        <w:rPr>
          <w:rFonts w:ascii="Times New Roman" w:hAnsi="Times New Roman" w:cs="Times New Roman"/>
          <w:sz w:val="24"/>
          <w:szCs w:val="24"/>
        </w:rPr>
        <w:t>На участках, исчерпавших пропускную способность, целесообразна организация вождения соединенных поездов, иначе для освоения возрастающих размеров движения требуется усиление технического оснащения или строительство новой линии. При максимальной интенсивности движения поездов на участке вождение соединенных поездов несколько снижает наличную пропускную способность, но значительно увеличивает провозную. Степень изменения пропускной и провозной способности зависит от числа объединяемых составов и доли соединенных поездов от общих размеров движения. В условиях оптимального использования пропускной способности целесообразность регулярного вождения соединенных поездов должна обосновываться технико-экономическими расчетами. В случаях недоиспользования пропускной способности организация движения соединенных поездов может быть рекомендована только как временная мера в период «окон» или временного увеличения размеров движения</w:t>
      </w:r>
      <w:r w:rsidR="000968C8" w:rsidRPr="00F5729E">
        <w:rPr>
          <w:rFonts w:ascii="Times New Roman" w:hAnsi="Times New Roman" w:cs="Times New Roman"/>
          <w:sz w:val="24"/>
          <w:szCs w:val="24"/>
        </w:rPr>
        <w:t xml:space="preserve"> [3].</w:t>
      </w:r>
    </w:p>
    <w:p w:rsidR="00B0155B" w:rsidRPr="00F5729E" w:rsidRDefault="00B0155B" w:rsidP="000A4002">
      <w:pPr>
        <w:spacing w:after="0" w:line="240" w:lineRule="auto"/>
        <w:ind w:firstLine="709"/>
        <w:jc w:val="both"/>
        <w:rPr>
          <w:rFonts w:ascii="Times New Roman" w:hAnsi="Times New Roman" w:cs="Times New Roman"/>
          <w:sz w:val="24"/>
          <w:szCs w:val="24"/>
        </w:rPr>
      </w:pPr>
      <w:r w:rsidRPr="00F5729E">
        <w:rPr>
          <w:rFonts w:ascii="Times New Roman" w:hAnsi="Times New Roman" w:cs="Times New Roman"/>
          <w:sz w:val="24"/>
          <w:szCs w:val="24"/>
        </w:rPr>
        <w:t>Целесообразно разработать методику для обоснования тяжеловесного движения, в которой кроме положительных факторов учесть и отрицательные последствия:</w:t>
      </w:r>
    </w:p>
    <w:p w:rsidR="00B0155B" w:rsidRPr="00F5729E" w:rsidRDefault="003E3B92" w:rsidP="000A4002">
      <w:pPr>
        <w:spacing w:after="0" w:line="240" w:lineRule="auto"/>
        <w:ind w:firstLine="709"/>
        <w:jc w:val="both"/>
        <w:rPr>
          <w:rFonts w:ascii="Times New Roman" w:hAnsi="Times New Roman" w:cs="Times New Roman"/>
          <w:sz w:val="24"/>
          <w:szCs w:val="24"/>
        </w:rPr>
      </w:pPr>
      <w:r w:rsidRPr="00F5729E">
        <w:rPr>
          <w:rFonts w:ascii="Times New Roman" w:hAnsi="Times New Roman" w:cs="Times New Roman"/>
          <w:sz w:val="24"/>
          <w:szCs w:val="24"/>
        </w:rPr>
        <w:lastRenderedPageBreak/>
        <w:t>-</w:t>
      </w:r>
      <w:r w:rsidR="00B0155B" w:rsidRPr="00F5729E">
        <w:rPr>
          <w:rFonts w:ascii="Times New Roman" w:hAnsi="Times New Roman" w:cs="Times New Roman"/>
          <w:sz w:val="24"/>
          <w:szCs w:val="24"/>
        </w:rPr>
        <w:t>недоиспользования мощности многосекционных локомотивов;</w:t>
      </w:r>
    </w:p>
    <w:p w:rsidR="00B0155B" w:rsidRPr="00F5729E" w:rsidRDefault="003E3B92" w:rsidP="000A4002">
      <w:pPr>
        <w:spacing w:after="0" w:line="240" w:lineRule="auto"/>
        <w:ind w:firstLine="709"/>
        <w:jc w:val="both"/>
        <w:rPr>
          <w:rFonts w:ascii="Times New Roman" w:hAnsi="Times New Roman" w:cs="Times New Roman"/>
          <w:sz w:val="24"/>
          <w:szCs w:val="24"/>
        </w:rPr>
      </w:pPr>
      <w:r w:rsidRPr="00F5729E">
        <w:rPr>
          <w:rFonts w:ascii="Times New Roman" w:hAnsi="Times New Roman" w:cs="Times New Roman"/>
          <w:sz w:val="24"/>
          <w:szCs w:val="24"/>
        </w:rPr>
        <w:t>-</w:t>
      </w:r>
      <w:r w:rsidR="00B0155B" w:rsidRPr="00F5729E">
        <w:rPr>
          <w:rFonts w:ascii="Times New Roman" w:hAnsi="Times New Roman" w:cs="Times New Roman"/>
          <w:sz w:val="24"/>
          <w:szCs w:val="24"/>
        </w:rPr>
        <w:t>дополнительного съема грузовых поездов;</w:t>
      </w:r>
    </w:p>
    <w:p w:rsidR="00B0155B" w:rsidRPr="00F5729E" w:rsidRDefault="003E3B92" w:rsidP="000A4002">
      <w:pPr>
        <w:spacing w:after="0" w:line="240" w:lineRule="auto"/>
        <w:ind w:firstLine="709"/>
        <w:jc w:val="both"/>
        <w:rPr>
          <w:rFonts w:ascii="Times New Roman" w:hAnsi="Times New Roman" w:cs="Times New Roman"/>
          <w:sz w:val="24"/>
          <w:szCs w:val="24"/>
        </w:rPr>
      </w:pPr>
      <w:r w:rsidRPr="00F5729E">
        <w:rPr>
          <w:rFonts w:ascii="Times New Roman" w:hAnsi="Times New Roman" w:cs="Times New Roman"/>
          <w:sz w:val="24"/>
          <w:szCs w:val="24"/>
        </w:rPr>
        <w:t>-</w:t>
      </w:r>
      <w:r w:rsidR="00B0155B" w:rsidRPr="00F5729E">
        <w:rPr>
          <w:rFonts w:ascii="Times New Roman" w:hAnsi="Times New Roman" w:cs="Times New Roman"/>
          <w:sz w:val="24"/>
          <w:szCs w:val="24"/>
        </w:rPr>
        <w:t>дополнительных затрат на содержание инфраструктуры и подвижного состава из-за более интенсивного износа;</w:t>
      </w:r>
    </w:p>
    <w:p w:rsidR="00B0155B" w:rsidRPr="00F5729E" w:rsidRDefault="003E3B92" w:rsidP="000A4002">
      <w:pPr>
        <w:spacing w:after="0" w:line="240" w:lineRule="auto"/>
        <w:ind w:firstLine="709"/>
        <w:jc w:val="both"/>
        <w:rPr>
          <w:rFonts w:ascii="Times New Roman" w:hAnsi="Times New Roman" w:cs="Times New Roman"/>
          <w:sz w:val="24"/>
          <w:szCs w:val="24"/>
        </w:rPr>
      </w:pPr>
      <w:r w:rsidRPr="00F5729E">
        <w:rPr>
          <w:rFonts w:ascii="Times New Roman" w:hAnsi="Times New Roman" w:cs="Times New Roman"/>
          <w:sz w:val="24"/>
          <w:szCs w:val="24"/>
        </w:rPr>
        <w:t>-</w:t>
      </w:r>
      <w:r w:rsidR="00B0155B" w:rsidRPr="00F5729E">
        <w:rPr>
          <w:rFonts w:ascii="Times New Roman" w:hAnsi="Times New Roman" w:cs="Times New Roman"/>
          <w:sz w:val="24"/>
          <w:szCs w:val="24"/>
        </w:rPr>
        <w:t>ограничения длины приемо-отправочных путей станций;</w:t>
      </w:r>
    </w:p>
    <w:p w:rsidR="00B0155B" w:rsidRPr="00F5729E" w:rsidRDefault="003E3B92" w:rsidP="000A4002">
      <w:pPr>
        <w:spacing w:after="0" w:line="240" w:lineRule="auto"/>
        <w:ind w:firstLine="709"/>
        <w:jc w:val="both"/>
        <w:rPr>
          <w:rFonts w:ascii="Times New Roman" w:hAnsi="Times New Roman" w:cs="Times New Roman"/>
          <w:sz w:val="24"/>
          <w:szCs w:val="24"/>
        </w:rPr>
      </w:pPr>
      <w:r w:rsidRPr="00F5729E">
        <w:rPr>
          <w:rFonts w:ascii="Times New Roman" w:hAnsi="Times New Roman" w:cs="Times New Roman"/>
          <w:sz w:val="24"/>
          <w:szCs w:val="24"/>
        </w:rPr>
        <w:t>-</w:t>
      </w:r>
      <w:r w:rsidR="00B0155B" w:rsidRPr="00F5729E">
        <w:rPr>
          <w:rFonts w:ascii="Times New Roman" w:hAnsi="Times New Roman" w:cs="Times New Roman"/>
          <w:sz w:val="24"/>
          <w:szCs w:val="24"/>
        </w:rPr>
        <w:t>дополнительных затрат на соединение и разъединение соединенных поездов;</w:t>
      </w:r>
    </w:p>
    <w:p w:rsidR="00B0155B" w:rsidRPr="00F5729E" w:rsidRDefault="003E3B92" w:rsidP="000A4002">
      <w:pPr>
        <w:spacing w:after="0" w:line="240" w:lineRule="auto"/>
        <w:ind w:firstLine="709"/>
        <w:jc w:val="both"/>
        <w:rPr>
          <w:rFonts w:ascii="Times New Roman" w:hAnsi="Times New Roman" w:cs="Times New Roman"/>
          <w:sz w:val="24"/>
          <w:szCs w:val="24"/>
        </w:rPr>
      </w:pPr>
      <w:r w:rsidRPr="00F5729E">
        <w:rPr>
          <w:rFonts w:ascii="Times New Roman" w:hAnsi="Times New Roman" w:cs="Times New Roman"/>
          <w:sz w:val="24"/>
          <w:szCs w:val="24"/>
        </w:rPr>
        <w:t>-</w:t>
      </w:r>
      <w:r w:rsidR="00B0155B" w:rsidRPr="00F5729E">
        <w:rPr>
          <w:rFonts w:ascii="Times New Roman" w:hAnsi="Times New Roman" w:cs="Times New Roman"/>
          <w:sz w:val="24"/>
          <w:szCs w:val="24"/>
        </w:rPr>
        <w:t>дополнительных затрат на станциях при работе с поездами, превышающими длину приемо-отправочных путей;</w:t>
      </w:r>
    </w:p>
    <w:p w:rsidR="00B0155B" w:rsidRPr="00F5729E" w:rsidRDefault="003E3B92" w:rsidP="000A4002">
      <w:pPr>
        <w:spacing w:after="0" w:line="240" w:lineRule="auto"/>
        <w:ind w:firstLine="709"/>
        <w:jc w:val="both"/>
        <w:rPr>
          <w:rFonts w:ascii="Times New Roman" w:hAnsi="Times New Roman" w:cs="Times New Roman"/>
          <w:sz w:val="24"/>
          <w:szCs w:val="24"/>
        </w:rPr>
      </w:pPr>
      <w:r w:rsidRPr="00F5729E">
        <w:rPr>
          <w:rFonts w:ascii="Times New Roman" w:hAnsi="Times New Roman" w:cs="Times New Roman"/>
          <w:sz w:val="24"/>
          <w:szCs w:val="24"/>
        </w:rPr>
        <w:t>-</w:t>
      </w:r>
      <w:r w:rsidR="00B0155B" w:rsidRPr="00F5729E">
        <w:rPr>
          <w:rFonts w:ascii="Times New Roman" w:hAnsi="Times New Roman" w:cs="Times New Roman"/>
          <w:sz w:val="24"/>
          <w:szCs w:val="24"/>
        </w:rPr>
        <w:t>изменения рисков отказов инфраструктуры и подвижного состава при вождении тяжеловесных и соединенных поездов.</w:t>
      </w:r>
    </w:p>
    <w:p w:rsidR="00B0155B" w:rsidRPr="00F5729E" w:rsidRDefault="00B0155B" w:rsidP="00C26798">
      <w:pPr>
        <w:spacing w:after="0" w:line="240" w:lineRule="auto"/>
        <w:ind w:firstLine="851"/>
        <w:jc w:val="both"/>
        <w:rPr>
          <w:rFonts w:ascii="Times New Roman" w:hAnsi="Times New Roman" w:cs="Times New Roman"/>
          <w:sz w:val="24"/>
          <w:szCs w:val="24"/>
        </w:rPr>
      </w:pPr>
    </w:p>
    <w:p w:rsidR="00263550" w:rsidRPr="00F5729E" w:rsidRDefault="00263550" w:rsidP="00C26798">
      <w:pPr>
        <w:spacing w:after="0" w:line="240" w:lineRule="auto"/>
        <w:ind w:firstLine="851"/>
        <w:rPr>
          <w:rFonts w:ascii="Times New Roman" w:hAnsi="Times New Roman" w:cs="Times New Roman"/>
          <w:b/>
          <w:sz w:val="24"/>
          <w:szCs w:val="24"/>
        </w:rPr>
      </w:pPr>
      <w:r w:rsidRPr="00F5729E">
        <w:rPr>
          <w:rFonts w:ascii="Times New Roman" w:hAnsi="Times New Roman" w:cs="Times New Roman"/>
          <w:b/>
          <w:sz w:val="24"/>
          <w:szCs w:val="24"/>
        </w:rPr>
        <w:t>Спи</w:t>
      </w:r>
      <w:r w:rsidR="000A4002" w:rsidRPr="00F5729E">
        <w:rPr>
          <w:rFonts w:ascii="Times New Roman" w:hAnsi="Times New Roman" w:cs="Times New Roman"/>
          <w:b/>
          <w:sz w:val="24"/>
          <w:szCs w:val="24"/>
        </w:rPr>
        <w:t>сок использованных источников:</w:t>
      </w:r>
    </w:p>
    <w:p w:rsidR="00263550" w:rsidRPr="00F5729E" w:rsidRDefault="000968C8" w:rsidP="000A4002">
      <w:pPr>
        <w:spacing w:after="0" w:line="240" w:lineRule="auto"/>
        <w:ind w:firstLine="851"/>
        <w:jc w:val="both"/>
        <w:rPr>
          <w:rFonts w:ascii="Times New Roman" w:hAnsi="Times New Roman" w:cs="Times New Roman"/>
          <w:sz w:val="24"/>
          <w:szCs w:val="24"/>
        </w:rPr>
      </w:pPr>
      <w:r w:rsidRPr="00F5729E">
        <w:rPr>
          <w:rFonts w:ascii="Times New Roman" w:hAnsi="Times New Roman" w:cs="Times New Roman"/>
          <w:sz w:val="24"/>
          <w:szCs w:val="24"/>
        </w:rPr>
        <w:t>1</w:t>
      </w:r>
      <w:r w:rsidR="00263550" w:rsidRPr="00F5729E">
        <w:rPr>
          <w:rFonts w:ascii="Times New Roman" w:hAnsi="Times New Roman" w:cs="Times New Roman"/>
          <w:sz w:val="24"/>
          <w:szCs w:val="24"/>
        </w:rPr>
        <w:t xml:space="preserve"> Боровикова М. С. Организация  движения на железнодорожном  транс- порте: Учебник для техникумов  и колледжей ж.-д. транспорта. —  М.: Маршрут, 2003. — 368 с.</w:t>
      </w:r>
      <w:r w:rsidR="00661A28">
        <w:rPr>
          <w:rFonts w:ascii="Times New Roman" w:hAnsi="Times New Roman" w:cs="Times New Roman"/>
          <w:sz w:val="24"/>
          <w:szCs w:val="24"/>
        </w:rPr>
        <w:t>;</w:t>
      </w:r>
      <w:bookmarkStart w:id="0" w:name="_GoBack"/>
      <w:bookmarkEnd w:id="0"/>
    </w:p>
    <w:p w:rsidR="00263550" w:rsidRPr="00F5729E" w:rsidRDefault="000968C8" w:rsidP="000A4002">
      <w:pPr>
        <w:spacing w:after="0" w:line="240" w:lineRule="auto"/>
        <w:ind w:firstLine="851"/>
        <w:jc w:val="both"/>
        <w:rPr>
          <w:rFonts w:ascii="Times New Roman" w:hAnsi="Times New Roman" w:cs="Times New Roman"/>
          <w:sz w:val="24"/>
          <w:szCs w:val="24"/>
        </w:rPr>
      </w:pPr>
      <w:r w:rsidRPr="00F5729E">
        <w:rPr>
          <w:rFonts w:ascii="Times New Roman" w:hAnsi="Times New Roman" w:cs="Times New Roman"/>
          <w:sz w:val="24"/>
          <w:szCs w:val="24"/>
        </w:rPr>
        <w:t>2</w:t>
      </w:r>
      <w:r w:rsidR="00263550" w:rsidRPr="00F5729E">
        <w:rPr>
          <w:rFonts w:ascii="Times New Roman" w:hAnsi="Times New Roman" w:cs="Times New Roman"/>
          <w:sz w:val="24"/>
          <w:szCs w:val="24"/>
        </w:rPr>
        <w:t xml:space="preserve"> «Развитие тяжеловесного движения грузовых поездов» под ред. Л.А. Мугинштейна, К.П. Шенфельда. М.: Интекст, 2011. – 76 с.</w:t>
      </w:r>
    </w:p>
    <w:p w:rsidR="00A003A7" w:rsidRPr="00F5729E" w:rsidRDefault="00A003A7" w:rsidP="00C26798">
      <w:pPr>
        <w:spacing w:after="0" w:line="240" w:lineRule="auto"/>
        <w:ind w:firstLine="851"/>
        <w:rPr>
          <w:rFonts w:ascii="Times New Roman" w:hAnsi="Times New Roman" w:cs="Times New Roman"/>
          <w:sz w:val="24"/>
          <w:szCs w:val="24"/>
        </w:rPr>
      </w:pPr>
    </w:p>
    <w:p w:rsidR="00316CA9" w:rsidRPr="00F5729E" w:rsidRDefault="00316CA9" w:rsidP="00C26798">
      <w:pPr>
        <w:spacing w:after="0" w:line="240" w:lineRule="auto"/>
        <w:rPr>
          <w:rFonts w:ascii="Times New Roman" w:hAnsi="Times New Roman" w:cs="Times New Roman"/>
          <w:sz w:val="24"/>
          <w:szCs w:val="24"/>
        </w:rPr>
      </w:pPr>
    </w:p>
    <w:p w:rsidR="006F6550" w:rsidRPr="00F5729E" w:rsidRDefault="00F5729E" w:rsidP="00C26798">
      <w:pPr>
        <w:spacing w:after="0" w:line="240" w:lineRule="auto"/>
        <w:ind w:firstLine="851"/>
        <w:rPr>
          <w:rFonts w:ascii="Times New Roman" w:hAnsi="Times New Roman" w:cs="Times New Roman"/>
          <w:b/>
          <w:sz w:val="24"/>
          <w:szCs w:val="24"/>
        </w:rPr>
      </w:pPr>
      <w:r w:rsidRPr="00F5729E">
        <w:rPr>
          <w:rFonts w:ascii="Times New Roman" w:hAnsi="Times New Roman" w:cs="Times New Roman"/>
          <w:b/>
          <w:sz w:val="24"/>
          <w:szCs w:val="24"/>
        </w:rPr>
        <w:t>Мельникова Светлана Юрьевна, преподаватель</w:t>
      </w:r>
    </w:p>
    <w:p w:rsidR="00F5729E" w:rsidRPr="00F5729E" w:rsidRDefault="00F5729E" w:rsidP="00C26798">
      <w:pPr>
        <w:spacing w:after="0" w:line="240" w:lineRule="auto"/>
        <w:ind w:firstLine="851"/>
        <w:rPr>
          <w:rFonts w:ascii="Times New Roman" w:hAnsi="Times New Roman" w:cs="Times New Roman"/>
          <w:b/>
          <w:sz w:val="24"/>
          <w:szCs w:val="24"/>
        </w:rPr>
      </w:pPr>
      <w:r w:rsidRPr="00F5729E">
        <w:rPr>
          <w:rFonts w:ascii="Times New Roman" w:hAnsi="Times New Roman" w:cs="Times New Roman"/>
          <w:b/>
          <w:sz w:val="24"/>
          <w:szCs w:val="24"/>
        </w:rPr>
        <w:t xml:space="preserve">Финогенов Игорь Александрович, обучающийся </w:t>
      </w:r>
    </w:p>
    <w:p w:rsidR="00F5729E" w:rsidRPr="00F5729E" w:rsidRDefault="00F5729E" w:rsidP="00F5729E">
      <w:pPr>
        <w:tabs>
          <w:tab w:val="left" w:pos="284"/>
        </w:tabs>
        <w:spacing w:after="0" w:line="240" w:lineRule="auto"/>
        <w:ind w:firstLine="851"/>
        <w:jc w:val="both"/>
        <w:rPr>
          <w:rFonts w:ascii="Times New Roman" w:hAnsi="Times New Roman" w:cs="Times New Roman"/>
          <w:b/>
          <w:sz w:val="24"/>
          <w:szCs w:val="24"/>
        </w:rPr>
      </w:pPr>
      <w:r w:rsidRPr="00F5729E">
        <w:rPr>
          <w:rFonts w:ascii="Times New Roman" w:hAnsi="Times New Roman" w:cs="Times New Roman"/>
          <w:b/>
          <w:color w:val="000000"/>
          <w:sz w:val="24"/>
          <w:szCs w:val="24"/>
          <w:shd w:val="clear" w:color="auto" w:fill="FFFFFF"/>
        </w:rPr>
        <w:t>Тайгинский институт железнодорожного транспорта - филиал федерального государственного бюджетного образовательного учреждения высшего образования «Омский государственный университет путей сообщения»</w:t>
      </w:r>
    </w:p>
    <w:p w:rsidR="00F5729E" w:rsidRPr="00F5729E" w:rsidRDefault="00F5729E" w:rsidP="00C26798">
      <w:pPr>
        <w:spacing w:after="0" w:line="240" w:lineRule="auto"/>
        <w:ind w:firstLine="851"/>
        <w:rPr>
          <w:rFonts w:ascii="Times New Roman" w:hAnsi="Times New Roman" w:cs="Times New Roman"/>
          <w:sz w:val="24"/>
          <w:szCs w:val="24"/>
        </w:rPr>
      </w:pPr>
    </w:p>
    <w:sectPr w:rsidR="00F5729E" w:rsidRPr="00F5729E" w:rsidSect="00F5729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B54D3"/>
    <w:multiLevelType w:val="multilevel"/>
    <w:tmpl w:val="E772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077A7F"/>
    <w:multiLevelType w:val="multilevel"/>
    <w:tmpl w:val="5676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FB25EA"/>
    <w:multiLevelType w:val="hybridMultilevel"/>
    <w:tmpl w:val="5BDC9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D8"/>
    <w:rsid w:val="000328D8"/>
    <w:rsid w:val="000647DC"/>
    <w:rsid w:val="00092B31"/>
    <w:rsid w:val="000968C8"/>
    <w:rsid w:val="000973B0"/>
    <w:rsid w:val="000A4002"/>
    <w:rsid w:val="001009D7"/>
    <w:rsid w:val="001070A9"/>
    <w:rsid w:val="00263550"/>
    <w:rsid w:val="00316CA9"/>
    <w:rsid w:val="00363E32"/>
    <w:rsid w:val="003A2B07"/>
    <w:rsid w:val="003E3B92"/>
    <w:rsid w:val="00641135"/>
    <w:rsid w:val="00661A28"/>
    <w:rsid w:val="006F6550"/>
    <w:rsid w:val="0078767D"/>
    <w:rsid w:val="00973CE4"/>
    <w:rsid w:val="00A003A7"/>
    <w:rsid w:val="00B0155B"/>
    <w:rsid w:val="00B377C1"/>
    <w:rsid w:val="00BC3AB1"/>
    <w:rsid w:val="00C26798"/>
    <w:rsid w:val="00C75645"/>
    <w:rsid w:val="00F57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6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003A7"/>
    <w:pPr>
      <w:ind w:left="720"/>
      <w:contextualSpacing/>
    </w:pPr>
  </w:style>
  <w:style w:type="paragraph" w:styleId="a5">
    <w:name w:val="Balloon Text"/>
    <w:basedOn w:val="a"/>
    <w:link w:val="a6"/>
    <w:uiPriority w:val="99"/>
    <w:semiHidden/>
    <w:unhideWhenUsed/>
    <w:rsid w:val="00BC3A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3A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6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003A7"/>
    <w:pPr>
      <w:ind w:left="720"/>
      <w:contextualSpacing/>
    </w:pPr>
  </w:style>
  <w:style w:type="paragraph" w:styleId="a5">
    <w:name w:val="Balloon Text"/>
    <w:basedOn w:val="a"/>
    <w:link w:val="a6"/>
    <w:uiPriority w:val="99"/>
    <w:semiHidden/>
    <w:unhideWhenUsed/>
    <w:rsid w:val="00BC3A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3A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50098">
      <w:bodyDiv w:val="1"/>
      <w:marLeft w:val="0"/>
      <w:marRight w:val="0"/>
      <w:marTop w:val="0"/>
      <w:marBottom w:val="0"/>
      <w:divBdr>
        <w:top w:val="none" w:sz="0" w:space="0" w:color="auto"/>
        <w:left w:val="none" w:sz="0" w:space="0" w:color="auto"/>
        <w:bottom w:val="none" w:sz="0" w:space="0" w:color="auto"/>
        <w:right w:val="none" w:sz="0" w:space="0" w:color="auto"/>
      </w:divBdr>
    </w:div>
    <w:div w:id="1025600071">
      <w:bodyDiv w:val="1"/>
      <w:marLeft w:val="0"/>
      <w:marRight w:val="0"/>
      <w:marTop w:val="0"/>
      <w:marBottom w:val="0"/>
      <w:divBdr>
        <w:top w:val="none" w:sz="0" w:space="0" w:color="auto"/>
        <w:left w:val="none" w:sz="0" w:space="0" w:color="auto"/>
        <w:bottom w:val="none" w:sz="0" w:space="0" w:color="auto"/>
        <w:right w:val="none" w:sz="0" w:space="0" w:color="auto"/>
      </w:divBdr>
    </w:div>
    <w:div w:id="171569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743</Words>
  <Characters>4236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Шишкин Петя</dc:creator>
  <cp:keywords/>
  <dc:description/>
  <cp:lastModifiedBy>Admin</cp:lastModifiedBy>
  <cp:revision>9</cp:revision>
  <dcterms:created xsi:type="dcterms:W3CDTF">2022-01-30T15:20:00Z</dcterms:created>
  <dcterms:modified xsi:type="dcterms:W3CDTF">2022-05-27T08:04:00Z</dcterms:modified>
</cp:coreProperties>
</file>