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D" w:rsidRPr="00E8400D" w:rsidRDefault="0080266F" w:rsidP="008026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00D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ПОВРЕЖДЕНИЙ ИЗОЛЯТОРОВ НА КОНТАКТНОЙ СЕТИ И </w:t>
      </w:r>
      <w:proofErr w:type="gramStart"/>
      <w:r w:rsidRPr="00E8400D">
        <w:rPr>
          <w:rFonts w:ascii="Times New Roman" w:eastAsia="Calibri" w:hAnsi="Times New Roman" w:cs="Times New Roman"/>
          <w:b/>
          <w:sz w:val="28"/>
          <w:szCs w:val="28"/>
        </w:rPr>
        <w:t>ВЛ</w:t>
      </w:r>
      <w:proofErr w:type="gramEnd"/>
      <w:r w:rsidRPr="00E8400D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</w:p>
    <w:p w:rsidR="00772477" w:rsidRPr="00E8400D" w:rsidRDefault="0080266F" w:rsidP="0080266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8400D">
        <w:rPr>
          <w:rFonts w:ascii="Times New Roman" w:eastAsia="Calibri" w:hAnsi="Times New Roman" w:cs="Times New Roman"/>
          <w:b/>
          <w:sz w:val="28"/>
          <w:szCs w:val="28"/>
        </w:rPr>
        <w:t>ЗАПАДНО-СИБИРСКОЙ</w:t>
      </w:r>
      <w:proofErr w:type="gramEnd"/>
      <w:r w:rsidRPr="00E8400D">
        <w:rPr>
          <w:rFonts w:ascii="Times New Roman" w:eastAsia="Calibri" w:hAnsi="Times New Roman" w:cs="Times New Roman"/>
          <w:b/>
          <w:sz w:val="28"/>
          <w:szCs w:val="28"/>
        </w:rPr>
        <w:t xml:space="preserve"> ЖЕЛЕЗНОЙ ДОРОГЕ</w:t>
      </w:r>
    </w:p>
    <w:p w:rsidR="00772477" w:rsidRPr="0080266F" w:rsidRDefault="00772477" w:rsidP="0080266F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повреждениям</w:t>
      </w:r>
      <w:r w:rsidR="0080266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воздушных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относятся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перекрытия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бои,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повреждения.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Перекрытия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пробои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(электрические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повреждения)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вызываются:</w:t>
      </w:r>
    </w:p>
    <w:p w:rsidR="00005B1D" w:rsidRPr="00F83C20" w:rsidRDefault="00F83C20" w:rsidP="00F83C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-атмосфер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ными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перенапряжениями;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F83C20" w:rsidRDefault="00F83C20" w:rsidP="00F83C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загрязнениями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поверхности;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F83C20" w:rsidRDefault="00F83C20" w:rsidP="00F83C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ионизацией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воздуха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вблизи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изоляторов;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F83C20" w:rsidRDefault="00F83C20" w:rsidP="00F83C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разрушением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фарфора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шапок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тарельчатых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вследствие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химической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коррозии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пестиков,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вызванной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воздействием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применявшихся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ранее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ускорителей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отвердевания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цемента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заделки;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F83C20" w:rsidRDefault="00F83C20" w:rsidP="00F83C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внешними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факторами,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числе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попаданием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посторонних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предметов,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отключением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разъединителей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нагрузкой,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наледями,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птицами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т.п.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(удары,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увеличенные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нагрузки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пр.)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разрушаются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стержневые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фиксаторов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консолей,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разъедините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включении).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ударах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жестко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связанной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конструкции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динамическом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токоприемников)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83C20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образуются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микротрещины,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снижают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прочность.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коэффици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ентах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фарфора,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цемента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металлической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арматуры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вызывает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значительные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напряжения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изоляторе,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температуры,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также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приво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появлению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микротрещин.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Большое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повреждается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силь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ветрах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усилий.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Увеличивается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фиксаторных</w:t>
      </w:r>
      <w:proofErr w:type="spellEnd"/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перепадах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температуры.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сравнивать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воздушных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ВЛ</w:t>
      </w:r>
      <w:proofErr w:type="gramEnd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),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окажется,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ВЛ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меньших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пролетов,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гораздо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хуже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вибраций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загрязнений.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вызывает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необходимость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дополнительных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повышению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надежности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изоляции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хотя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поверхностном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перекрытии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разрушение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может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произойти,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возможны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отключения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нарушит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движения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т.п.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воздушных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линий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происходят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причинам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[1]: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B96011" w:rsidRDefault="00B96011" w:rsidP="00B960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климатические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воздействия;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B96011" w:rsidRDefault="00B96011" w:rsidP="00B960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посторонние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воздействия;</w:t>
      </w:r>
    </w:p>
    <w:p w:rsidR="00005B1D" w:rsidRPr="00B96011" w:rsidRDefault="00B96011" w:rsidP="00B960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дефекты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конструкции,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изготовления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монтажа;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B96011" w:rsidRDefault="00B96011" w:rsidP="00B960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старение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материалов;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B96011" w:rsidRDefault="00B96011" w:rsidP="00B960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недостатки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эксплуатации;</w:t>
      </w:r>
    </w:p>
    <w:p w:rsidR="00005B1D" w:rsidRPr="00B96011" w:rsidRDefault="00B96011" w:rsidP="00B96011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недостатки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проектирования;</w:t>
      </w:r>
    </w:p>
    <w:p w:rsidR="00005B1D" w:rsidRPr="00B96011" w:rsidRDefault="00B96011" w:rsidP="00B96011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другие</w:t>
      </w:r>
      <w:r w:rsidR="0080266F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B960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причины.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Наибольшая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относительная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повреждаемость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анкерных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натяжных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как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они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испытывают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нагрузки.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Тяжелые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фиксаторных</w:t>
      </w:r>
      <w:proofErr w:type="spellEnd"/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воздействия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нагрузок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процессе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токосъема.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Повреждения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внутренний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поверхностный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пробой,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перекрытии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дугой,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растрескивание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коррозия.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разделяют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две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группы:</w:t>
      </w:r>
    </w:p>
    <w:p w:rsidR="00005B1D" w:rsidRPr="00542D9C" w:rsidRDefault="00542D9C" w:rsidP="00542D9C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542D9C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электрические;</w:t>
      </w:r>
      <w:r w:rsidR="0080266F" w:rsidRPr="00542D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542D9C" w:rsidRDefault="00542D9C" w:rsidP="00542D9C">
      <w:pPr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542D9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механические.</w:t>
      </w:r>
      <w:r w:rsidR="0080266F" w:rsidRPr="00542D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Электрические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происходят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(растрескивания)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материала,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загрязнения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поверхности,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перенапряжения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отключения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разъединителей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нагрузкой.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(им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подвержены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стержневые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изоляторы)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возникают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микротрещин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ударах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вибрации.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Микротрещины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возникают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колебаниях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температуры,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из-за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различия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коэффициентов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расширения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фарфора,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цемента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металла.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Вероятность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возрастает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понижением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температуры.</w:t>
      </w:r>
    </w:p>
    <w:p w:rsidR="00005B1D" w:rsidRPr="0080266F" w:rsidRDefault="00005B1D" w:rsidP="0080266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6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состоянию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развернутая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длина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11838,2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км,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переменном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токе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2722,3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790735" w:rsidRPr="0080266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005B1D" w:rsidRPr="0080266F" w:rsidRDefault="00005B1D" w:rsidP="0080266F">
      <w:pPr>
        <w:tabs>
          <w:tab w:val="left" w:pos="851"/>
        </w:tabs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6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дистанциях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электроснабжения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эксплуатируется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1,150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млн.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том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675,5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фарфоровых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тарельчатых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367,4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стеклянных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тарельчатых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172,2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фарфоровых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стержневых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шт.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полимерных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05B1D" w:rsidRPr="0080266F" w:rsidRDefault="00005B1D" w:rsidP="0080266F">
      <w:pPr>
        <w:tabs>
          <w:tab w:val="left" w:pos="851"/>
        </w:tabs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учета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КАСАНТ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работе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первой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категории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составило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шестьдесят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пять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году.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Наибольшее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допущено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из-за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разрушения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пробоя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сети.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5B1D" w:rsidRPr="0080266F" w:rsidRDefault="00005B1D" w:rsidP="0080266F">
      <w:pPr>
        <w:tabs>
          <w:tab w:val="left" w:pos="851"/>
        </w:tabs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допущено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десять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Количество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уменьшено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сравнении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41%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(в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2019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допущено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семнадцать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случаев).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допущены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дистанциях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электроснабжения,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указанных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</w:t>
      </w:r>
      <w:r w:rsidR="00790735"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0735"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05B1D" w:rsidRPr="0080266F" w:rsidRDefault="00005B1D" w:rsidP="00542D9C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CFD2195" wp14:editId="05FE18C4">
            <wp:simplePos x="0" y="0"/>
            <wp:positionH relativeFrom="column">
              <wp:posOffset>962025</wp:posOffset>
            </wp:positionH>
            <wp:positionV relativeFrom="paragraph">
              <wp:posOffset>157480</wp:posOffset>
            </wp:positionV>
            <wp:extent cx="4500245" cy="2980690"/>
            <wp:effectExtent l="0" t="0" r="0" b="0"/>
            <wp:wrapThrough wrapText="bothSides">
              <wp:wrapPolygon edited="0">
                <wp:start x="2194" y="276"/>
                <wp:lineTo x="2012" y="1380"/>
                <wp:lineTo x="3749" y="1795"/>
                <wp:lineTo x="10789" y="2761"/>
                <wp:lineTo x="2103" y="3175"/>
                <wp:lineTo x="2103" y="4280"/>
                <wp:lineTo x="10789" y="4970"/>
                <wp:lineTo x="2103" y="5798"/>
                <wp:lineTo x="2103" y="6902"/>
                <wp:lineTo x="10789" y="7179"/>
                <wp:lineTo x="2743" y="8283"/>
                <wp:lineTo x="2012" y="8559"/>
                <wp:lineTo x="2012" y="11872"/>
                <wp:lineTo x="3109" y="13805"/>
                <wp:lineTo x="183" y="18084"/>
                <wp:lineTo x="183" y="18360"/>
                <wp:lineTo x="3566" y="20431"/>
                <wp:lineTo x="3475" y="20569"/>
                <wp:lineTo x="3749" y="20707"/>
                <wp:lineTo x="9601" y="21398"/>
                <wp:lineTo x="21487" y="21398"/>
                <wp:lineTo x="21487" y="15047"/>
                <wp:lineTo x="17098" y="13805"/>
                <wp:lineTo x="17830" y="13805"/>
                <wp:lineTo x="21121" y="12010"/>
                <wp:lineTo x="21304" y="9249"/>
                <wp:lineTo x="10698" y="7179"/>
                <wp:lineTo x="10698" y="2761"/>
                <wp:lineTo x="2652" y="276"/>
                <wp:lineTo x="2194" y="276"/>
              </wp:wrapPolygon>
            </wp:wrapThrough>
            <wp:docPr id="329" name="Диаграмма 3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542D9C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90735"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Сравнительный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Западно-Сибирской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железной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дороге</w:t>
      </w: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2D9C" w:rsidRDefault="00542D9C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2D9C" w:rsidRDefault="00542D9C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2D9C" w:rsidRDefault="00542D9C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типам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распределились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образом,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08BD32" wp14:editId="6A4EDE29">
            <wp:simplePos x="0" y="0"/>
            <wp:positionH relativeFrom="column">
              <wp:posOffset>819785</wp:posOffset>
            </wp:positionH>
            <wp:positionV relativeFrom="paragraph">
              <wp:posOffset>165100</wp:posOffset>
            </wp:positionV>
            <wp:extent cx="4749800" cy="2707005"/>
            <wp:effectExtent l="0" t="0" r="12700" b="17145"/>
            <wp:wrapThrough wrapText="bothSides">
              <wp:wrapPolygon edited="0">
                <wp:start x="0" y="0"/>
                <wp:lineTo x="0" y="21585"/>
                <wp:lineTo x="21571" y="21585"/>
                <wp:lineTo x="21571" y="0"/>
                <wp:lineTo x="0" y="0"/>
              </wp:wrapPolygon>
            </wp:wrapThrough>
            <wp:docPr id="332" name="Диаграмма 3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типам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6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общего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отказов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сети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изоляторы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приходится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отказ,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два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сравнению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аналогичным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периодом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8026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66F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5460" cy="2730500"/>
            <wp:effectExtent l="0" t="0" r="0" b="0"/>
            <wp:docPr id="333" name="Диаграмма 3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5B1D" w:rsidRPr="0080266F" w:rsidRDefault="00005B1D" w:rsidP="00542D9C">
      <w:pPr>
        <w:tabs>
          <w:tab w:val="left" w:pos="851"/>
        </w:tabs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tabs>
          <w:tab w:val="left" w:pos="851"/>
        </w:tabs>
        <w:spacing w:before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E840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Сравнительный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</w:t>
      </w:r>
      <w:r w:rsidR="00E840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</w:p>
    <w:p w:rsidR="00005B1D" w:rsidRPr="0080266F" w:rsidRDefault="00005B1D" w:rsidP="0080266F">
      <w:pPr>
        <w:tabs>
          <w:tab w:val="left" w:pos="851"/>
        </w:tabs>
        <w:spacing w:before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января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2021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привели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23,97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поездо</w:t>
      </w:r>
      <w:proofErr w:type="spellEnd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потерь,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6,17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поездо</w:t>
      </w:r>
      <w:proofErr w:type="spellEnd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чем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за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аналогичный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прошлого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составляет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41%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потерь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движении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поездов,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80266F" w:rsidRDefault="00005B1D" w:rsidP="0085632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452A97" wp14:editId="337FD5F2">
            <wp:extent cx="4352290" cy="2596515"/>
            <wp:effectExtent l="0" t="0" r="0" b="0"/>
            <wp:docPr id="334" name="Диаграмма 3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5B1D" w:rsidRPr="0080266F" w:rsidRDefault="00005B1D" w:rsidP="0080266F">
      <w:pPr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Рисунок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Распределение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потерь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поездо</w:t>
      </w:r>
      <w:proofErr w:type="spellEnd"/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-часов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отказов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технических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средств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Причинами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старение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случая;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влияние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метеорологических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условий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два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случая;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заводской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брак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два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случая;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влияние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посторонних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два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случая;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обслуживания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один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случай.</w:t>
      </w:r>
    </w:p>
    <w:p w:rsidR="00005B1D" w:rsidRPr="0080266F" w:rsidRDefault="00005B1D" w:rsidP="008026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связи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этим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проведен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анализ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среднего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времени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восстановления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часто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повреждаемых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элементов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сети,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которого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следует,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что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изоляторы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имеют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наибольшее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значение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показателей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среднего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времени</w:t>
      </w:r>
      <w:r w:rsid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восстановления: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воздушные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стрелки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0,38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контактные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провода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0,48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усиливающие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провода,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питающие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провода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0,8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струны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контактной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сети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0,94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зажимы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1,57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заземления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1,64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несущий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трос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1,88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фиксаторы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3,27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ч;</w:t>
      </w:r>
    </w:p>
    <w:p w:rsidR="00005B1D" w:rsidRPr="0085632C" w:rsidRDefault="0085632C" w:rsidP="00856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изоляторы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3,87</w:t>
      </w:r>
      <w:r w:rsidR="0080266F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ч.</w:t>
      </w:r>
    </w:p>
    <w:p w:rsidR="00005B1D" w:rsidRPr="0080266F" w:rsidRDefault="00005B1D" w:rsidP="0080266F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уменьшения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дистанциях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электроснабжения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проведены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работы: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диагностирование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181,256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фарфоровых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тарельчатых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годовом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113,637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результатам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диагностики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выявлено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шестьдесят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шесть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дефектных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или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0,09%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проверенных;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высоковольтных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объеме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16,209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(сто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сорок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девять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процентов).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числе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заменено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10,486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старотипных</w:t>
      </w:r>
      <w:proofErr w:type="spellEnd"/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тарельчатых</w:t>
      </w:r>
      <w:proofErr w:type="gramEnd"/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П-4,5.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допущено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типа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П-4,5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[</w:t>
      </w:r>
      <w:r w:rsidR="00BF7AB0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];</w:t>
      </w:r>
    </w:p>
    <w:p w:rsidR="00005B1D" w:rsidRPr="0085632C" w:rsidRDefault="0085632C" w:rsidP="0085632C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началом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грозового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сезона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диагностированы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изоляторы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наступления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грозового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сезона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участках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переменного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проверено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100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(46,5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шт.)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участках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тока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80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%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годового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(53,906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шт.);</w:t>
      </w:r>
    </w:p>
    <w:p w:rsidR="00005B1D" w:rsidRPr="0085632C" w:rsidRDefault="00E50130" w:rsidP="0085632C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наступления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грозового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сезона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очистка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тоннелях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искусственных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сооружениях;</w:t>
      </w:r>
    </w:p>
    <w:p w:rsidR="00005B1D" w:rsidRPr="0085632C" w:rsidRDefault="00E50130" w:rsidP="0085632C">
      <w:pPr>
        <w:shd w:val="clear" w:color="auto" w:fill="FFFFFF"/>
        <w:tabs>
          <w:tab w:val="left" w:pos="127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снижения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рисков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повреждения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изоляторов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атмосферных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перенапряжений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перестановка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существующих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элементов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грозозащиты</w:t>
      </w:r>
      <w:proofErr w:type="spellEnd"/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наиболее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подверженных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грозовым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перенапряжениям;</w:t>
      </w:r>
    </w:p>
    <w:p w:rsidR="00BF7AB0" w:rsidRPr="0080266F" w:rsidRDefault="00E50130" w:rsidP="00E50130">
      <w:pPr>
        <w:shd w:val="clear" w:color="auto" w:fill="FFFFFF"/>
        <w:tabs>
          <w:tab w:val="left" w:pos="1276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шестидесяти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двух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ограничителей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перенапряжения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контактной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05B1D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сети.</w:t>
      </w:r>
      <w:r w:rsidR="0080266F" w:rsidRPr="008563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F7AB0" w:rsidRPr="0080266F" w:rsidRDefault="00BF7AB0" w:rsidP="0080266F">
      <w:pPr>
        <w:spacing w:after="0" w:line="360" w:lineRule="auto"/>
        <w:ind w:right="-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1D" w:rsidRPr="0080266F" w:rsidRDefault="00BF7AB0" w:rsidP="0080266F">
      <w:pPr>
        <w:spacing w:after="0" w:line="360" w:lineRule="auto"/>
        <w:ind w:right="-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80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</w:p>
    <w:p w:rsidR="00BF7AB0" w:rsidRPr="0080266F" w:rsidRDefault="00E50130" w:rsidP="00E501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Сопов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,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В.И.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Электроснабжение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электрического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транспорта: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учебное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для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СПО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/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В.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И.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Сопов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,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Ю.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А.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Прокушев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2-е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изд.,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и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доп.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Издательство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,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2019.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137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с.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(Профессиональное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образование).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ISBN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978-5-534-10910-8.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Текст: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электронный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//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ЭБС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6B3520" w:rsidRPr="0080266F">
        <w:rPr>
          <w:rFonts w:ascii="Times New Roman" w:eastAsia="Calibri" w:hAnsi="Times New Roman" w:cs="Times New Roman"/>
          <w:sz w:val="28"/>
          <w:szCs w:val="28"/>
        </w:rPr>
        <w:t>: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сайт.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20" w:rsidRPr="0080266F">
        <w:rPr>
          <w:rFonts w:ascii="Times New Roman" w:eastAsia="Calibri" w:hAnsi="Times New Roman" w:cs="Times New Roman"/>
          <w:sz w:val="28"/>
          <w:szCs w:val="28"/>
        </w:rPr>
        <w:t>-</w:t>
      </w:r>
      <w:r w:rsidR="008026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10" w:anchor="page/2" w:history="1">
        <w:r w:rsidR="00BF7AB0" w:rsidRPr="0080266F">
          <w:rPr>
            <w:rStyle w:val="a4"/>
            <w:rFonts w:ascii="Times New Roman" w:eastAsia="Calibri" w:hAnsi="Times New Roman" w:cs="Times New Roman"/>
            <w:sz w:val="28"/>
            <w:szCs w:val="28"/>
          </w:rPr>
          <w:t>URL:https://www.biblio-online.ru/viewer/elektrosnabzhenie-elektricheskogo-transporta-432225#page/2</w:t>
        </w:r>
      </w:hyperlink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A639E8" w:rsidRPr="0080266F" w:rsidRDefault="00E50130" w:rsidP="00E501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Стратегия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научно-технологического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холдинга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«РЖД»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период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2025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перспективу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2030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года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(«Белая</w:t>
      </w:r>
      <w:r w:rsid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BF7AB0" w:rsidRPr="0080266F">
        <w:rPr>
          <w:rFonts w:ascii="Times New Roman" w:eastAsia="Arial Unicode MS" w:hAnsi="Times New Roman" w:cs="Times New Roman"/>
          <w:sz w:val="28"/>
          <w:szCs w:val="28"/>
          <w:lang w:eastAsia="ru-RU"/>
        </w:rPr>
        <w:t>книга»)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основании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положений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научно-технологического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утвержденной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Президента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2016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642,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  <w:r w:rsid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7AB0" w:rsidRPr="0080266F">
        <w:rPr>
          <w:rFonts w:ascii="Times New Roman" w:hAnsi="Times New Roman" w:cs="Times New Roman"/>
          <w:sz w:val="28"/>
          <w:szCs w:val="28"/>
          <w:shd w:val="clear" w:color="auto" w:fill="FFFFFF"/>
        </w:rPr>
        <w:t>87</w:t>
      </w:r>
    </w:p>
    <w:p w:rsidR="009C3FF9" w:rsidRPr="00E50130" w:rsidRDefault="00E50130" w:rsidP="00E5013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72477" w:rsidRPr="0080266F">
        <w:rPr>
          <w:rFonts w:ascii="Times New Roman" w:hAnsi="Times New Roman" w:cs="Times New Roman"/>
          <w:sz w:val="28"/>
          <w:szCs w:val="28"/>
        </w:rPr>
        <w:t>Кудряшов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Е.В.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Создание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контактной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сети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для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высокоскоростного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движения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на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базе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современных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принципов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управления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жизненным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циклом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наукоемкой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продукции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/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Е.В.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Кудряшов,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В.А.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Иванов,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А.Н.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Ковалев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//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Электрификация,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инновационные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технологии,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скоростные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и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высокоскоростное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движение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на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железнодорожном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транспорте: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Материалы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77" w:rsidRPr="0080266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72477" w:rsidRPr="0080266F">
        <w:rPr>
          <w:rFonts w:ascii="Times New Roman" w:hAnsi="Times New Roman" w:cs="Times New Roman"/>
          <w:sz w:val="28"/>
          <w:szCs w:val="28"/>
        </w:rPr>
        <w:t>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симпозиума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«Элтранс-2009»/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477" w:rsidRPr="0080266F">
        <w:rPr>
          <w:rFonts w:ascii="Times New Roman" w:hAnsi="Times New Roman" w:cs="Times New Roman"/>
          <w:sz w:val="28"/>
          <w:szCs w:val="28"/>
        </w:rPr>
        <w:t>Петербурский</w:t>
      </w:r>
      <w:proofErr w:type="spellEnd"/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гос.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Ун-т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путей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сообщения.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СПб,</w:t>
      </w:r>
      <w:r w:rsidR="0080266F">
        <w:rPr>
          <w:rFonts w:ascii="Times New Roman" w:hAnsi="Times New Roman" w:cs="Times New Roman"/>
          <w:sz w:val="28"/>
          <w:szCs w:val="28"/>
        </w:rPr>
        <w:t xml:space="preserve"> </w:t>
      </w:r>
      <w:r w:rsidR="00772477" w:rsidRPr="0080266F">
        <w:rPr>
          <w:rFonts w:ascii="Times New Roman" w:hAnsi="Times New Roman" w:cs="Times New Roman"/>
          <w:sz w:val="28"/>
          <w:szCs w:val="28"/>
        </w:rPr>
        <w:t>2010</w:t>
      </w:r>
    </w:p>
    <w:sectPr w:rsidR="009C3FF9" w:rsidRPr="00E50130" w:rsidSect="0080266F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09"/>
    <w:multiLevelType w:val="hybridMultilevel"/>
    <w:tmpl w:val="CDAA9680"/>
    <w:lvl w:ilvl="0" w:tplc="AEF67EC2">
      <w:start w:val="1"/>
      <w:numFmt w:val="decimal"/>
      <w:lvlText w:val="%1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483"/>
    <w:multiLevelType w:val="hybridMultilevel"/>
    <w:tmpl w:val="CDAA9680"/>
    <w:lvl w:ilvl="0" w:tplc="AEF67EC2">
      <w:start w:val="1"/>
      <w:numFmt w:val="decimal"/>
      <w:lvlText w:val="%1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63CE1"/>
    <w:multiLevelType w:val="multilevel"/>
    <w:tmpl w:val="760654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464750D8"/>
    <w:multiLevelType w:val="hybridMultilevel"/>
    <w:tmpl w:val="4772493A"/>
    <w:lvl w:ilvl="0" w:tplc="83F24C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C2C6ECD"/>
    <w:multiLevelType w:val="hybridMultilevel"/>
    <w:tmpl w:val="1CECDA18"/>
    <w:lvl w:ilvl="0" w:tplc="83F24C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FE2717E"/>
    <w:multiLevelType w:val="hybridMultilevel"/>
    <w:tmpl w:val="937C97A0"/>
    <w:lvl w:ilvl="0" w:tplc="83F24C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5CF69B7"/>
    <w:multiLevelType w:val="hybridMultilevel"/>
    <w:tmpl w:val="A65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3C12"/>
    <w:multiLevelType w:val="hybridMultilevel"/>
    <w:tmpl w:val="6E5081B2"/>
    <w:lvl w:ilvl="0" w:tplc="83F24C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A2F2836"/>
    <w:multiLevelType w:val="hybridMultilevel"/>
    <w:tmpl w:val="CDF48246"/>
    <w:lvl w:ilvl="0" w:tplc="83F24CB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D4B6D6B"/>
    <w:multiLevelType w:val="hybridMultilevel"/>
    <w:tmpl w:val="CDAA9680"/>
    <w:lvl w:ilvl="0" w:tplc="AEF67EC2">
      <w:start w:val="1"/>
      <w:numFmt w:val="decimal"/>
      <w:lvlText w:val="%1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C2C7E"/>
    <w:multiLevelType w:val="hybridMultilevel"/>
    <w:tmpl w:val="2EF01F0A"/>
    <w:lvl w:ilvl="0" w:tplc="941C6298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2"/>
    <w:rsid w:val="00005B1D"/>
    <w:rsid w:val="004035FB"/>
    <w:rsid w:val="00542D9C"/>
    <w:rsid w:val="00636CC2"/>
    <w:rsid w:val="006B3520"/>
    <w:rsid w:val="00772477"/>
    <w:rsid w:val="00790735"/>
    <w:rsid w:val="0080266F"/>
    <w:rsid w:val="0085632C"/>
    <w:rsid w:val="0087005B"/>
    <w:rsid w:val="00915BC4"/>
    <w:rsid w:val="009C3FF9"/>
    <w:rsid w:val="00A639E8"/>
    <w:rsid w:val="00B96011"/>
    <w:rsid w:val="00BF7AB0"/>
    <w:rsid w:val="00E50130"/>
    <w:rsid w:val="00E8400D"/>
    <w:rsid w:val="00F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A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A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URL:https://www.biblio-online.ru/viewer/elektrosnabzhenie-elektricheskogo-transporta-43222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Эч Алтайская</c:v>
                </c:pt>
                <c:pt idx="1">
                  <c:v>Эч Карасук</c:v>
                </c:pt>
                <c:pt idx="2">
                  <c:v>Эч Инская</c:v>
                </c:pt>
                <c:pt idx="3">
                  <c:v>Эч Камень-на-Оби</c:v>
                </c:pt>
                <c:pt idx="4">
                  <c:v>Эч Новокузнецк</c:v>
                </c:pt>
                <c:pt idx="5">
                  <c:v>Эч Новосибирск</c:v>
                </c:pt>
                <c:pt idx="6">
                  <c:v>Эч Барабинск</c:v>
                </c:pt>
                <c:pt idx="7">
                  <c:v>Эч Входная</c:v>
                </c:pt>
                <c:pt idx="8">
                  <c:v>Эч Белово</c:v>
                </c:pt>
                <c:pt idx="9">
                  <c:v>Эч Тайга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92-479A-A53C-4EE4443F2C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Эч Алтайская</c:v>
                </c:pt>
                <c:pt idx="1">
                  <c:v>Эч Карасук</c:v>
                </c:pt>
                <c:pt idx="2">
                  <c:v>Эч Инская</c:v>
                </c:pt>
                <c:pt idx="3">
                  <c:v>Эч Камень-на-Оби</c:v>
                </c:pt>
                <c:pt idx="4">
                  <c:v>Эч Новокузнецк</c:v>
                </c:pt>
                <c:pt idx="5">
                  <c:v>Эч Новосибирск</c:v>
                </c:pt>
                <c:pt idx="6">
                  <c:v>Эч Барабинск</c:v>
                </c:pt>
                <c:pt idx="7">
                  <c:v>Эч Входная</c:v>
                </c:pt>
                <c:pt idx="8">
                  <c:v>Эч Белово</c:v>
                </c:pt>
                <c:pt idx="9">
                  <c:v>Эч Тайга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92-479A-A53C-4EE4443F2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07584"/>
        <c:axId val="77400896"/>
      </c:barChart>
      <c:catAx>
        <c:axId val="15110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7400896"/>
        <c:crosses val="autoZero"/>
        <c:auto val="1"/>
        <c:lblAlgn val="ctr"/>
        <c:lblOffset val="100"/>
        <c:noMultiLvlLbl val="0"/>
      </c:catAx>
      <c:valAx>
        <c:axId val="77400896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1107584"/>
        <c:crosses val="autoZero"/>
        <c:crossBetween val="between"/>
        <c:majorUnit val="1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 w="0"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Типы изоляторов</c:v>
                </c:pt>
              </c:strCache>
            </c:strRef>
          </c:tx>
          <c:dLbls>
            <c:dLbl>
              <c:idx val="0"/>
              <c:layout>
                <c:manualLayout>
                  <c:x val="9.4964153721627795E-2"/>
                  <c:y val="0.120753921031588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C2-4E63-AAB5-8AE47CDFDDCD}"/>
                </c:ext>
              </c:extLst>
            </c:dLbl>
            <c:dLbl>
              <c:idx val="1"/>
              <c:layout>
                <c:manualLayout>
                  <c:x val="6.6333021855904367E-2"/>
                  <c:y val="3.818016841949144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C2-4E63-AAB5-8AE47CDFDDCD}"/>
                </c:ext>
              </c:extLst>
            </c:dLbl>
            <c:dLbl>
              <c:idx val="2"/>
              <c:layout>
                <c:manualLayout>
                  <c:x val="9.4279153931301429E-2"/>
                  <c:y val="2.18527683158120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C2-4E63-AAB5-8AE47CDFDDCD}"/>
                </c:ext>
              </c:extLst>
            </c:dLbl>
            <c:dLbl>
              <c:idx val="3"/>
              <c:layout>
                <c:manualLayout>
                  <c:x val="-7.0179346118941124E-2"/>
                  <c:y val="-3.61373632562314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C2-4E63-AAB5-8AE47CDFDDCD}"/>
                </c:ext>
              </c:extLst>
            </c:dLbl>
            <c:dLbl>
              <c:idx val="4"/>
              <c:layout>
                <c:manualLayout>
                  <c:x val="-7.7101938571165207E-2"/>
                  <c:y val="1.27028201205115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C2-4E63-AAB5-8AE47CDFDDCD}"/>
                </c:ext>
              </c:extLst>
            </c:dLbl>
            <c:dLbl>
              <c:idx val="5"/>
              <c:layout>
                <c:manualLayout>
                  <c:x val="-7.8701392312019683E-2"/>
                  <c:y val="2.34149545930585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C2-4E63-AAB5-8AE47CDFDDCD}"/>
                </c:ext>
              </c:extLst>
            </c:dLbl>
            <c:dLbl>
              <c:idx val="6"/>
              <c:layout>
                <c:manualLayout>
                  <c:x val="-8.191968471415946E-2"/>
                  <c:y val="-1.02969273272063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6C2-4E63-AAB5-8AE47CDFDDCD}"/>
                </c:ext>
              </c:extLst>
            </c:dLbl>
            <c:dLbl>
              <c:idx val="7"/>
              <c:layout>
                <c:manualLayout>
                  <c:x val="0.14937940561877852"/>
                  <c:y val="-4.2769134333328435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ФТФ-70;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C2-4E63-AAB5-8AE47CDFDD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ПФ-70</c:v>
                </c:pt>
                <c:pt idx="1">
                  <c:v>ИКСУ-27,5</c:v>
                </c:pt>
                <c:pt idx="2">
                  <c:v>ИСП-25</c:v>
                </c:pt>
                <c:pt idx="3">
                  <c:v>НСПК 120-25/1,2</c:v>
                </c:pt>
                <c:pt idx="4">
                  <c:v>ПС-70</c:v>
                </c:pt>
                <c:pt idx="5">
                  <c:v>ПСФ-70</c:v>
                </c:pt>
                <c:pt idx="6">
                  <c:v>ФСФ-70</c:v>
                </c:pt>
                <c:pt idx="7">
                  <c:v>ФСФ-70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6C2-4E63-AAB5-8AE47CDFDD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614144065325168"/>
          <c:y val="8.6206724159480067E-2"/>
          <c:w val="0.45865285068533101"/>
          <c:h val="0.7875551813767450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2"/>
            <c:extLst xmlns:c16r2="http://schemas.microsoft.com/office/drawing/2015/06/chart">
              <c:ext xmlns:c16="http://schemas.microsoft.com/office/drawing/2014/chart" uri="{C3380CC4-5D6E-409C-BE32-E72D297353CC}">
                <c16:uniqueId val="{00000001-DBF4-4E62-859D-79FE0B4B22CF}"/>
              </c:ext>
            </c:extLst>
          </c:dPt>
          <c:dLbls>
            <c:dLbl>
              <c:idx val="0"/>
              <c:layout>
                <c:manualLayout>
                  <c:x val="0.1089831014676977"/>
                  <c:y val="3.680800942285041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изоляторы; 1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rgbClr val="00B05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-2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BF4-4E62-859D-79FE0B4B22CF}"/>
                </c:ext>
              </c:extLst>
            </c:dLbl>
            <c:dLbl>
              <c:idx val="1"/>
              <c:layout>
                <c:manualLayout>
                  <c:x val="5.3240740740740741E-2"/>
                  <c:y val="-7.9498739493825792E-3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провода; 6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+2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F4-4E62-859D-79FE0B4B22CF}"/>
                </c:ext>
              </c:extLst>
            </c:dLbl>
            <c:dLbl>
              <c:idx val="2"/>
              <c:layout>
                <c:manualLayout>
                  <c:x val="2.0655621172353457E-2"/>
                  <c:y val="-3.9611973791486774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endParaRPr lang="ru-RU" sz="1400"/>
                  </a:p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воздушные стрелки; 4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+2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BF4-4E62-859D-79FE0B4B22CF}"/>
                </c:ext>
              </c:extLst>
            </c:dLbl>
            <c:dLbl>
              <c:idx val="3"/>
              <c:layout>
                <c:manualLayout>
                  <c:x val="-0.10648148148148148"/>
                  <c:y val="3.961748846959514E-3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заземления; 2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chemeClr val="accent6">
                            <a:lumMod val="75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rPr>
                      <a:t>-1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BF4-4E62-859D-79FE0B4B22CF}"/>
                </c:ext>
              </c:extLst>
            </c:dLbl>
            <c:dLbl>
              <c:idx val="4"/>
              <c:layout>
                <c:manualLayout>
                  <c:x val="-2.7777777777777755E-2"/>
                  <c:y val="-5.5646926821787429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фиксаторы; 4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+3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BF4-4E62-859D-79FE0B4B22CF}"/>
                </c:ext>
              </c:extLst>
            </c:dLbl>
            <c:dLbl>
              <c:idx val="5"/>
              <c:layout>
                <c:manualLayout>
                  <c:x val="-1.15740740740740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струны; 4</a:t>
                    </a:r>
                  </a:p>
                  <a:p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BF4-4E62-859D-79FE0B4B22CF}"/>
                </c:ext>
              </c:extLst>
            </c:dLbl>
            <c:dLbl>
              <c:idx val="6"/>
              <c:layout>
                <c:manualLayout>
                  <c:x val="-7.9190258835859173E-2"/>
                  <c:y val="1.8439977872026555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зажимы; 2</a:t>
                    </a:r>
                  </a:p>
                  <a:p>
                    <a:pPr>
                      <a:defRPr sz="1400"/>
                    </a:pPr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+2</a:t>
                    </a: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BF4-4E62-859D-79FE0B4B22CF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изоляторы</c:v>
                </c:pt>
                <c:pt idx="1">
                  <c:v>провода</c:v>
                </c:pt>
                <c:pt idx="2">
                  <c:v>воздушные стрелки</c:v>
                </c:pt>
                <c:pt idx="3">
                  <c:v>заземления</c:v>
                </c:pt>
                <c:pt idx="4">
                  <c:v>фиксаторы</c:v>
                </c:pt>
                <c:pt idx="5">
                  <c:v>струны</c:v>
                </c:pt>
                <c:pt idx="6">
                  <c:v>зажимы</c:v>
                </c:pt>
                <c:pt idx="7">
                  <c:v>прочее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BF4-4E62-859D-79FE0B4B22C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2"/>
            <c:extLst xmlns:c16r2="http://schemas.microsoft.com/office/drawing/2015/06/chart">
              <c:ext xmlns:c16="http://schemas.microsoft.com/office/drawing/2014/chart" uri="{C3380CC4-5D6E-409C-BE32-E72D297353CC}">
                <c16:uniqueId val="{00000001-3813-41B2-A365-1BF0CDEA9FA2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3813-41B2-A365-1BF0CDEA9FA2}"/>
              </c:ext>
            </c:extLst>
          </c:dPt>
          <c:dLbls>
            <c:dLbl>
              <c:idx val="0"/>
              <c:layout>
                <c:manualLayout>
                  <c:x val="2.1168343540390783E-2"/>
                  <c:y val="-0.23590854249181178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провода; 29,2</a:t>
                    </a:r>
                  </a:p>
                  <a:p>
                    <a:r>
                      <a:rPr lang="ru-RU" sz="140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rPr>
                      <a:t>-30,15</a:t>
                    </a:r>
                    <a:r>
                      <a:rPr lang="ru-RU" sz="1400" baseline="0">
                        <a:solidFill>
                          <a:schemeClr val="accent6">
                            <a:lumMod val="50000"/>
                          </a:schemeClr>
                        </a:solidFill>
                        <a:latin typeface="Times New Roman" pitchFamily="18" charset="0"/>
                        <a:cs typeface="Times New Roman" pitchFamily="18" charset="0"/>
                      </a:rPr>
                      <a:t> ч.</a:t>
                    </a:r>
                    <a:endParaRPr lang="ru-RU" sz="1400">
                      <a:solidFill>
                        <a:schemeClr val="accent6">
                          <a:lumMod val="50000"/>
                        </a:schemeClr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13-41B2-A365-1BF0CDEA9FA2}"/>
                </c:ext>
              </c:extLst>
            </c:dLbl>
            <c:dLbl>
              <c:idx val="1"/>
              <c:layout>
                <c:manualLayout>
                  <c:x val="-0.2474958064208895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струны; 3,93</a:t>
                    </a:r>
                  </a:p>
                  <a:p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+3,26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13-41B2-A365-1BF0CDEA9FA2}"/>
                </c:ext>
              </c:extLst>
            </c:dLbl>
            <c:dLbl>
              <c:idx val="2"/>
              <c:layout>
                <c:manualLayout>
                  <c:x val="-0.1545379093720419"/>
                  <c:y val="-0.21002019379784287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фиксаторы; 1,33</a:t>
                    </a:r>
                  </a:p>
                  <a:p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+1,33 ч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13-41B2-A365-1BF0CDEA9FA2}"/>
                </c:ext>
              </c:extLst>
            </c:dLbl>
            <c:dLbl>
              <c:idx val="3"/>
              <c:layout>
                <c:manualLayout>
                  <c:x val="-6.4413823272090986E-4"/>
                  <c:y val="-0.22185565913284061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изоляторы; 23,97</a:t>
                    </a:r>
                  </a:p>
                  <a:p>
                    <a:r>
                      <a:rPr lang="ru-RU" sz="1400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+6,17 ч.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13-41B2-A365-1BF0CDEA9FA2}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провода</c:v>
                </c:pt>
                <c:pt idx="1">
                  <c:v>струны</c:v>
                </c:pt>
                <c:pt idx="2">
                  <c:v>фиксаторы</c:v>
                </c:pt>
                <c:pt idx="3">
                  <c:v>изоляторы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29.2</c:v>
                </c:pt>
                <c:pt idx="1">
                  <c:v>3.93</c:v>
                </c:pt>
                <c:pt idx="2">
                  <c:v>1.33</c:v>
                </c:pt>
                <c:pt idx="3">
                  <c:v>23.97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813-41B2-A365-1BF0CDEA9F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2021-11-09T05:44:00Z</dcterms:created>
  <dcterms:modified xsi:type="dcterms:W3CDTF">2021-12-08T01:24:00Z</dcterms:modified>
</cp:coreProperties>
</file>