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D2" w:rsidRDefault="00A54ED2" w:rsidP="006B7877">
      <w:pPr>
        <w:spacing w:line="360" w:lineRule="auto"/>
        <w:jc w:val="both"/>
        <w:rPr>
          <w:b/>
          <w:i/>
        </w:rPr>
      </w:pPr>
      <w:r w:rsidRPr="0077755D">
        <w:rPr>
          <w:b/>
          <w:i/>
        </w:rPr>
        <w:t>Демин Олег Викторович</w:t>
      </w:r>
    </w:p>
    <w:p w:rsidR="00A54ED2" w:rsidRDefault="00A54ED2" w:rsidP="006B7877">
      <w:pPr>
        <w:spacing w:line="360" w:lineRule="auto"/>
        <w:jc w:val="both"/>
        <w:rPr>
          <w:i/>
        </w:rPr>
      </w:pPr>
      <w:r>
        <w:rPr>
          <w:i/>
        </w:rPr>
        <w:t>Преподаватель</w:t>
      </w:r>
    </w:p>
    <w:p w:rsidR="00A54ED2" w:rsidRDefault="00A54ED2" w:rsidP="006B7877">
      <w:pPr>
        <w:spacing w:line="360" w:lineRule="auto"/>
        <w:jc w:val="both"/>
        <w:rPr>
          <w:i/>
        </w:rPr>
      </w:pPr>
      <w:r>
        <w:rPr>
          <w:i/>
        </w:rPr>
        <w:t>ГОАПОУ «Липецкий металлургический колледж»</w:t>
      </w:r>
    </w:p>
    <w:p w:rsidR="00A54ED2" w:rsidRPr="0077755D" w:rsidRDefault="00A54ED2" w:rsidP="006B7877">
      <w:pPr>
        <w:spacing w:line="360" w:lineRule="auto"/>
        <w:jc w:val="both"/>
        <w:rPr>
          <w:i/>
        </w:rPr>
      </w:pPr>
      <w:r>
        <w:rPr>
          <w:i/>
        </w:rPr>
        <w:t>г. Липецк, Липецкая область</w:t>
      </w:r>
    </w:p>
    <w:p w:rsidR="00A54ED2" w:rsidRDefault="00302370" w:rsidP="006B7877">
      <w:pPr>
        <w:spacing w:line="360" w:lineRule="auto"/>
        <w:jc w:val="both"/>
        <w:rPr>
          <w:b/>
        </w:rPr>
      </w:pPr>
      <w:r>
        <w:rPr>
          <w:b/>
        </w:rPr>
        <w:t xml:space="preserve">Демонстрационный экзамен </w:t>
      </w:r>
    </w:p>
    <w:p w:rsidR="00A54ED2" w:rsidRDefault="00A54ED2" w:rsidP="006B7877">
      <w:pPr>
        <w:spacing w:line="360" w:lineRule="auto"/>
        <w:jc w:val="both"/>
        <w:rPr>
          <w:i/>
        </w:rPr>
      </w:pPr>
      <w:r w:rsidRPr="001403D6">
        <w:rPr>
          <w:b/>
          <w:i/>
        </w:rPr>
        <w:t xml:space="preserve">Аннотация: </w:t>
      </w:r>
      <w:r w:rsidR="00302370">
        <w:rPr>
          <w:i/>
        </w:rPr>
        <w:t>проведение демонстрационного экзамена в рамках ГИА</w:t>
      </w:r>
    </w:p>
    <w:p w:rsidR="00FB765B" w:rsidRDefault="00A54ED2" w:rsidP="006B7877">
      <w:pPr>
        <w:spacing w:line="360" w:lineRule="auto"/>
        <w:jc w:val="both"/>
      </w:pPr>
      <w:r w:rsidRPr="00FB765B">
        <w:t xml:space="preserve">Ключевые слова: </w:t>
      </w:r>
      <w:r w:rsidR="00302370" w:rsidRPr="00FB765B">
        <w:t>Демонстрационный экзамен,</w:t>
      </w:r>
      <w:r w:rsidR="00FB765B" w:rsidRPr="00FB765B">
        <w:t>Worldskills Russia</w:t>
      </w:r>
      <w:r w:rsidR="00FB765B">
        <w:t xml:space="preserve">, стандарты </w:t>
      </w:r>
      <w:r w:rsidR="00FB765B" w:rsidRPr="00FB765B">
        <w:t>Worldskills</w:t>
      </w:r>
      <w:r w:rsidR="00FB765B">
        <w:t>.</w:t>
      </w:r>
    </w:p>
    <w:p w:rsidR="00752541" w:rsidRDefault="00752541" w:rsidP="006B7877">
      <w:pPr>
        <w:spacing w:line="360" w:lineRule="auto"/>
        <w:jc w:val="both"/>
      </w:pPr>
      <w:r w:rsidRPr="00752541">
        <w:t>В послании Федеральному Собранию 4 декабря 2014 года Президентом Российской Федерации дано поручение, направленное на развитие системы подготовки рабочих кадров: «К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технологиями…». </w:t>
      </w:r>
    </w:p>
    <w:p w:rsidR="00503929" w:rsidRPr="00503929" w:rsidRDefault="00752541" w:rsidP="006B7877">
      <w:pPr>
        <w:shd w:val="clear" w:color="auto" w:fill="FFFFFF"/>
        <w:spacing w:line="360" w:lineRule="auto"/>
        <w:jc w:val="both"/>
      </w:pPr>
      <w:r>
        <w:t>В 2012 году Россия пр</w:t>
      </w:r>
      <w:r w:rsidR="00FD4B29">
        <w:t>и</w:t>
      </w:r>
      <w:r>
        <w:t xml:space="preserve">соеденилась к мировому двжению </w:t>
      </w:r>
      <w:r w:rsidR="00FD4B29">
        <w:t>«</w:t>
      </w:r>
      <w:r w:rsidR="00FD4B29" w:rsidRPr="00FD4B29">
        <w:t>WorldSkills International</w:t>
      </w:r>
      <w:r w:rsidR="00FD4B29">
        <w:t>»</w:t>
      </w:r>
      <w:r>
        <w:t xml:space="preserve">. Прошли первые неуверенные «пробы пера», были получены первые </w:t>
      </w:r>
      <w:r w:rsidR="00FD4B29">
        <w:t>какие-то</w:t>
      </w:r>
      <w:r w:rsidR="00BB4F24">
        <w:t xml:space="preserve"> последние </w:t>
      </w:r>
      <w:r w:rsidR="00FD4B29">
        <w:t xml:space="preserve"> места, затем </w:t>
      </w:r>
      <w:r w:rsidR="00BB4F24">
        <w:t xml:space="preserve">были </w:t>
      </w:r>
      <w:r w:rsidR="00FD4B29">
        <w:t>первые жетоны и пе</w:t>
      </w:r>
      <w:r w:rsidR="00BB4F24">
        <w:t xml:space="preserve">рвые медали. Наконец после шестилетнего  становления российская команда в 2018 году </w:t>
      </w:r>
      <w:r w:rsidR="00BB4F24" w:rsidRPr="00BB4F24">
        <w:t>заняла 1 первое место в медальном зачёте и 1 место по баллам на чемпионате EuroSkills Budapest 2018</w:t>
      </w:r>
      <w:r w:rsidR="00BB4F24">
        <w:t xml:space="preserve">. </w:t>
      </w:r>
      <w:r w:rsidR="00BB4F24" w:rsidRPr="00BB4F24">
        <w:t>В 2019 году на 45 мировом чемпионате по профессиональному мастерству WorldSkills Kazan 2019, прошедшем в Казани, российская сборная заняла второе место, завоевав 22 медали, 14 из которых – золотые</w:t>
      </w:r>
      <w:r w:rsidR="00BB4F24">
        <w:t xml:space="preserve">. </w:t>
      </w:r>
      <w:r w:rsidR="007602BF">
        <w:t xml:space="preserve">Чемпионат в Казани был триумфом национальной команды. По итогам мировых и национальных чемпионатов проавительсвом РФ было принято решение  в качестве эксперимента </w:t>
      </w:r>
      <w:r w:rsidR="00D44028">
        <w:t>принять</w:t>
      </w:r>
      <w:r w:rsidR="00D44028">
        <w:t xml:space="preserve"> стандарты </w:t>
      </w:r>
      <w:r w:rsidR="00D44028" w:rsidRPr="00BB4F24">
        <w:t>WorldSkills</w:t>
      </w:r>
      <w:r w:rsidR="00D44028">
        <w:t xml:space="preserve"> для проведения промежуточных и итоговых аттестаций в виде демонстрационного экзамена. Демонстрационный экзамен призван был показать </w:t>
      </w:r>
      <w:r w:rsidR="000E423E">
        <w:t>то владение компетенцией, которым обладает студент, выпускающийся в ближайшем будущем из стен учебного заведения.</w:t>
      </w:r>
      <w:r w:rsidR="00C06564">
        <w:t xml:space="preserve"> Так </w:t>
      </w:r>
      <w:r w:rsidR="00411E49">
        <w:t> в</w:t>
      </w:r>
      <w:r w:rsidR="00C06564" w:rsidRPr="00C06564">
        <w:t xml:space="preserve"> 2017 </w:t>
      </w:r>
      <w:r w:rsidR="00C06564" w:rsidRPr="00C06564">
        <w:lastRenderedPageBreak/>
        <w:t>году в качестве эксперимента в 26 субъектах России государственная итоговая и промежуточная аттестации по программам среднего профессионального образования прошли в форме демонстрационного экзамена по стандартам WorldSkills</w:t>
      </w:r>
      <w:r w:rsidR="00C06564">
        <w:t xml:space="preserve">. Эксперимент правительству показался успешным. </w:t>
      </w:r>
      <w:r w:rsidR="000E423E">
        <w:t xml:space="preserve"> </w:t>
      </w:r>
      <w:r w:rsidR="00411E49" w:rsidRPr="00411E49">
        <w:t>По итогам эксперимента приказом Министерства образования и науки Российской Федерации от 17 ноября 2017 года № 1138 демонстрационный экзамен утвержден в качестве процедуры государственной итоговой аттестации по образовательным программам среднего профессионального образования</w:t>
      </w:r>
      <w:r w:rsidR="00411E49">
        <w:t xml:space="preserve">. </w:t>
      </w:r>
      <w:r w:rsidR="00EA1451" w:rsidRPr="00EA1451">
        <w:t>В феврале 2017 года стало известно, что демонстрационный экзамен по стандартам WorldSkills Russia внедрён в государственную итоговую аттестацию, и по состоянию на февраль 2017 года демонстрационный экзамен сдали первые две тысячи выпускников. В 2017 году более 10 000 выпускников московских колледжей сдавали демонстрационный экзамен по стандартам WorldSkills. Всего в 2017 году более 14 000 выпускников сдали демонстрационный экзамен по стандартам WorldSkills по 74 компетенция</w:t>
      </w:r>
      <w:r w:rsidR="00EA1451">
        <w:t xml:space="preserve">м. </w:t>
      </w:r>
      <w:r w:rsidR="00411E49">
        <w:t xml:space="preserve">Стандарты </w:t>
      </w:r>
      <w:r w:rsidR="00411E49" w:rsidRPr="00C06564">
        <w:t>WorldSkills</w:t>
      </w:r>
      <w:r w:rsidR="00411E49">
        <w:t xml:space="preserve"> это стандарты мирового уровня и требуют от учебного заведения</w:t>
      </w:r>
      <w:r w:rsidR="00716DB1">
        <w:t xml:space="preserve"> для проведения демонстрационного экзамена</w:t>
      </w:r>
      <w:r w:rsidR="00411E49">
        <w:t xml:space="preserve"> </w:t>
      </w:r>
      <w:r w:rsidR="00716DB1">
        <w:t xml:space="preserve">наличия соответствующих площадок  оснащенных по таким стандартам. Далеко не все учебные заведения имели на тот период возможности </w:t>
      </w:r>
      <w:r w:rsidR="00EA1451">
        <w:t>оборудовать</w:t>
      </w:r>
      <w:r w:rsidR="00CF67CC">
        <w:t xml:space="preserve"> </w:t>
      </w:r>
      <w:r w:rsidR="00EA1451">
        <w:t xml:space="preserve"> площадки по стандартам </w:t>
      </w:r>
      <w:r w:rsidR="00EA1451" w:rsidRPr="00C06564">
        <w:t>WorldSkills</w:t>
      </w:r>
      <w:r w:rsidR="00EA1451">
        <w:t xml:space="preserve">. </w:t>
      </w:r>
      <w:r w:rsidR="00716DB1">
        <w:t xml:space="preserve"> </w:t>
      </w:r>
      <w:r w:rsidR="00CF67CC" w:rsidRPr="00CF67CC">
        <w:t>В 2018 году запущена программа модернизации профессионального образования, техникумы и колледжи начали массово переходить на экзамен по стандартам WorldSkills. В 2018 году демонстрационный экзамен сдали 30 000 выпускников в 60 регионах России. Развитие стандартов Ворлдскиллс в российской системе СПО в качестве демонстрационного экзамена в настоящее время поддерживают работодатели. Более 700 российских компаний принимают </w:t>
      </w:r>
      <w:hyperlink r:id="rId7" w:tooltip="Скиллс-паспорт" w:history="1">
        <w:r w:rsidR="00CF67CC" w:rsidRPr="00CF67CC">
          <w:t>паспорт компетенций</w:t>
        </w:r>
      </w:hyperlink>
      <w:r w:rsidR="00CF67CC" w:rsidRPr="00CF67CC">
        <w:t> у соискателей наряду с другими принятыми документами. Представители предприятий присутствуют на государственной аттестации, приглашая на работу успешных выпускников.</w:t>
      </w:r>
      <w:r w:rsidR="00CF67CC">
        <w:t xml:space="preserve"> </w:t>
      </w:r>
      <w:r w:rsidR="00503929" w:rsidRPr="00503929">
        <w:t xml:space="preserve">Компании, подписавшие с Союзом «Молодые профессионалы (Ворлдскиллс Россия)» Соглашение о признании демонстрационного экзамена, в соответствии с запрашиваемыми специальностями/профессиями получают рейтинг СПО. </w:t>
      </w:r>
      <w:proofErr w:type="gramStart"/>
      <w:r w:rsidR="00503929" w:rsidRPr="00503929">
        <w:t>Таким образом, и у образовательных организаций есть важная имиджевая составляющая, через проведение демоэкзамена показать достойный уровень под готовки выпускников для гарантированной востребованности на «запросном рынке» потенциальных работодателей.</w:t>
      </w:r>
      <w:proofErr w:type="gramEnd"/>
      <w:r w:rsidR="00406A02">
        <w:t xml:space="preserve"> </w:t>
      </w:r>
      <w:r w:rsidR="00503929" w:rsidRPr="00503929">
        <w:t>Кадровые службы предприятий также имеют возможность выбирать молодых специалистов, уже имеющих Паспорт компетенций (Skills Passport), на сервисе соискателей. Сегодня в базе данных более 100 000 человек с конкретно подтверждёнными профессиональными навыками. И более 300 компаний влились в «поисковый поток», охотясь за лучшими соискателями.</w:t>
      </w:r>
    </w:p>
    <w:p w:rsidR="00A6253C" w:rsidRDefault="00F871F4" w:rsidP="00F55E77">
      <w:pPr>
        <w:spacing w:line="360" w:lineRule="auto"/>
        <w:jc w:val="both"/>
      </w:pPr>
      <w:r>
        <w:t xml:space="preserve">Успешная сдача демонстрационного экзамена </w:t>
      </w:r>
      <w:r w:rsidR="003A39D4">
        <w:t xml:space="preserve"> </w:t>
      </w:r>
      <w:r>
        <w:t>требует от студентов дополнительной подготовки. В расписании занятий по дисиплнам и модулям отдельного времени на подготовку  нет</w:t>
      </w:r>
      <w:r w:rsidR="00503929">
        <w:t xml:space="preserve">. Одним из направлений решения </w:t>
      </w:r>
      <w:r w:rsidR="00B60800">
        <w:t xml:space="preserve">проблемы подготовки студентов </w:t>
      </w:r>
      <w:r w:rsidR="00503929">
        <w:t xml:space="preserve"> является </w:t>
      </w:r>
      <w:r w:rsidR="00824FC3">
        <w:t xml:space="preserve">формирование программы учебной практики </w:t>
      </w:r>
      <w:r w:rsidR="00503929">
        <w:t xml:space="preserve"> </w:t>
      </w:r>
      <w:r w:rsidR="00B60800">
        <w:t>с учетом требований проведения</w:t>
      </w:r>
      <w:r w:rsidR="008E25AB">
        <w:t xml:space="preserve">  демонстрационного экзамена. </w:t>
      </w:r>
      <w:r w:rsidR="001A76E1">
        <w:t xml:space="preserve">В программу </w:t>
      </w:r>
      <w:r w:rsidR="006B7877">
        <w:t>учебной практики необходимо включать модули демонстрационного экзамена. Выполнене работ по модулям необходимо проводить на площадке для проведения экзамена.</w:t>
      </w:r>
      <w:r w:rsidR="00A6253C">
        <w:t xml:space="preserve"> Подготовку к демонстрационному </w:t>
      </w:r>
      <w:r w:rsidR="00630CAD">
        <w:t>экзамену целесобразно разбить на несколько этапов</w:t>
      </w:r>
      <w:proofErr w:type="gramStart"/>
      <w:r w:rsidR="00630CAD">
        <w:t>.</w:t>
      </w:r>
      <w:proofErr w:type="gramEnd"/>
      <w:r w:rsidR="00630CAD">
        <w:t xml:space="preserve"> </w:t>
      </w:r>
      <w:r w:rsidR="00630CAD" w:rsidRPr="0080187D">
        <w:t>Н</w:t>
      </w:r>
      <w:r w:rsidR="00630CAD" w:rsidRPr="0080187D">
        <w:t>а первом этапе должна быть доведена информация о форме проведения экзамена, доступных заданиях для выполнения. Получив информацию о форме демонстрационного экзамена, необходимо перейти к практической отработке заданий на технологической площадке. </w:t>
      </w:r>
      <w:r w:rsidR="00B60800">
        <w:t xml:space="preserve"> </w:t>
      </w:r>
      <w:r w:rsidR="003C32DA">
        <w:t>На п</w:t>
      </w:r>
      <w:r w:rsidR="0080187D" w:rsidRPr="003C32DA">
        <w:t>ерво</w:t>
      </w:r>
      <w:r w:rsidR="003C32DA">
        <w:t>м этапе</w:t>
      </w:r>
      <w:r w:rsidR="0080187D" w:rsidRPr="003C32DA">
        <w:t xml:space="preserve"> демонстративное задание выполняется преподавателем самостоятельно, вызванные студенты выступают в качестве помощников на технологической площадке</w:t>
      </w:r>
      <w:r w:rsidR="0080187D" w:rsidRPr="003C32DA">
        <w:t xml:space="preserve">. </w:t>
      </w:r>
      <w:r w:rsidR="003C32DA" w:rsidRPr="003C32DA">
        <w:t>На в</w:t>
      </w:r>
      <w:r w:rsidR="003C32DA" w:rsidRPr="003C32DA">
        <w:t>торо</w:t>
      </w:r>
      <w:r w:rsidR="003C32DA" w:rsidRPr="003C32DA">
        <w:t>м</w:t>
      </w:r>
      <w:r w:rsidR="003C32DA" w:rsidRPr="003C32DA">
        <w:t xml:space="preserve"> этап</w:t>
      </w:r>
      <w:r w:rsidR="003C32DA">
        <w:t>е</w:t>
      </w:r>
      <w:r w:rsidR="003C32DA" w:rsidRPr="003C32DA">
        <w:t xml:space="preserve">  на технологическую площадку вызываются небольшие группы студентов, между которыми распределяются задания.</w:t>
      </w:r>
      <w:r w:rsidR="003C32DA" w:rsidRPr="003C32DA">
        <w:t xml:space="preserve"> </w:t>
      </w:r>
      <w:r w:rsidR="003C32DA" w:rsidRPr="003C32DA">
        <w:t>В этом процессе каждый студент уже выступает как непосредственный участник технологического цикла, а преподаватель является консультантом и помощником. В задачи преподавателя на втором этапе подготовки входит озвучивание инструкций, предоставление подсказок, напоминания о необходимости соблюдения требований в области безопасности труда.</w:t>
      </w:r>
      <w:r w:rsidR="003C32DA">
        <w:t xml:space="preserve"> </w:t>
      </w:r>
      <w:r w:rsidR="003C32DA" w:rsidRPr="00D63C55">
        <w:t>После каждого выполненного задания преподаватель подводит итоги – еще раз напоминает условия задачи и описывает шаги, выполненные группой студентов для достижения поставленной цели.</w:t>
      </w:r>
      <w:r w:rsidR="00D63C55">
        <w:t xml:space="preserve"> </w:t>
      </w:r>
      <w:r w:rsidR="00D63C55" w:rsidRPr="0098455C">
        <w:t>На третьем этапе студенты приступают к выполнению практического задания на технологической площадке</w:t>
      </w:r>
      <w:r w:rsidR="00735670" w:rsidRPr="0098455C">
        <w:t xml:space="preserve">. </w:t>
      </w:r>
      <w:r w:rsidR="00735670" w:rsidRPr="0098455C">
        <w:t xml:space="preserve">Каждый </w:t>
      </w:r>
      <w:r w:rsidR="00735670" w:rsidRPr="0098455C">
        <w:t>ее участник занимает свое место</w:t>
      </w:r>
      <w:r w:rsidR="00735670" w:rsidRPr="0098455C">
        <w:t>.</w:t>
      </w:r>
      <w:r w:rsidR="00D73C50" w:rsidRPr="0098455C">
        <w:t xml:space="preserve"> </w:t>
      </w:r>
      <w:r w:rsidR="00735670" w:rsidRPr="0098455C">
        <w:t>Перед тем, как поставить задачу, преподаватель проводит инструктаж, далее озвучивает условия задания и места на технологической площадке для каждого обучающегося.</w:t>
      </w:r>
      <w:r w:rsidR="00D73C50" w:rsidRPr="0098455C">
        <w:t xml:space="preserve"> </w:t>
      </w:r>
      <w:r w:rsidR="00735670" w:rsidRPr="0098455C">
        <w:t>Преподаватель на площадке выступает в качестве руководителя, при выполнении задания студентами он оценивает их знания, а также указывает на допускаемые ошибки</w:t>
      </w:r>
      <w:proofErr w:type="gramStart"/>
      <w:r w:rsidR="00735670" w:rsidRPr="0098455C">
        <w:t>.</w:t>
      </w:r>
      <w:proofErr w:type="gramEnd"/>
      <w:r w:rsidR="00735670" w:rsidRPr="0098455C">
        <w:t xml:space="preserve"> </w:t>
      </w:r>
      <w:r w:rsidR="0098455C">
        <w:t>З</w:t>
      </w:r>
      <w:r w:rsidR="0098455C">
        <w:t>авершающ</w:t>
      </w:r>
      <w:r w:rsidR="0098455C">
        <w:t>и</w:t>
      </w:r>
      <w:r w:rsidR="0098455C">
        <w:t xml:space="preserve">м </w:t>
      </w:r>
      <w:r w:rsidR="0098455C" w:rsidRPr="0098455C">
        <w:t xml:space="preserve"> этап</w:t>
      </w:r>
      <w:r w:rsidR="0098455C">
        <w:t>ом</w:t>
      </w:r>
      <w:r w:rsidR="0098455C" w:rsidRPr="0098455C">
        <w:t xml:space="preserve"> </w:t>
      </w:r>
      <w:r w:rsidR="0098455C">
        <w:t xml:space="preserve">подготовки </w:t>
      </w:r>
      <w:proofErr w:type="gramStart"/>
      <w:r w:rsidR="00735670" w:rsidRPr="0098455C">
        <w:t>подготовки</w:t>
      </w:r>
      <w:proofErr w:type="gramEnd"/>
      <w:r w:rsidR="00735670" w:rsidRPr="0098455C">
        <w:t xml:space="preserve"> является </w:t>
      </w:r>
      <w:r w:rsidR="00D73C50" w:rsidRPr="0098455C">
        <w:t xml:space="preserve">тренировка соответствующая реальному экзамену со случайным распределением мест </w:t>
      </w:r>
      <w:r w:rsidR="00D73C50" w:rsidRPr="0098455C">
        <w:t>на технологической площадке</w:t>
      </w:r>
      <w:r w:rsidR="0098455C">
        <w:t xml:space="preserve"> и случайным выбором задания</w:t>
      </w:r>
      <w:r w:rsidR="00D73C50" w:rsidRPr="0098455C">
        <w:t>.</w:t>
      </w:r>
      <w:r w:rsidR="00AF425C">
        <w:t xml:space="preserve"> </w:t>
      </w:r>
      <w:r w:rsidR="00AF425C" w:rsidRPr="00AF425C">
        <w:t>Каждая допущенная ошибка на технологической площадке фиксируется в проток</w:t>
      </w:r>
      <w:r w:rsidR="00AF425C">
        <w:t xml:space="preserve">. </w:t>
      </w:r>
      <w:r w:rsidR="00AF425C" w:rsidRPr="00AF425C">
        <w:t>После контрольного выполнения практического задания преподаватель оценивает знания каждого студента и оглашает результат.</w:t>
      </w:r>
      <w:r w:rsidR="00D73C50" w:rsidRPr="0098455C">
        <w:t xml:space="preserve"> </w:t>
      </w:r>
      <w:r w:rsidR="00AF425C">
        <w:t xml:space="preserve">Такой порядок подготовки </w:t>
      </w:r>
      <w:r w:rsidR="00C657CB">
        <w:t xml:space="preserve">позволяет </w:t>
      </w:r>
      <w:r w:rsidR="00AF425C">
        <w:t xml:space="preserve"> </w:t>
      </w:r>
      <w:r w:rsidR="00C657CB">
        <w:t xml:space="preserve">дать </w:t>
      </w:r>
      <w:r w:rsidR="00C657CB">
        <w:t>студентам</w:t>
      </w:r>
      <w:r w:rsidR="00C657CB">
        <w:t xml:space="preserve"> понимание  сути демонстрационного экзамена. Отработать порядок действий</w:t>
      </w:r>
      <w:r w:rsidR="00C92CB3">
        <w:t xml:space="preserve">, проверить возможности каждого экзаменующегося, указать на ошибки. При </w:t>
      </w:r>
      <w:r w:rsidR="007D79BF">
        <w:t>обнаружении пробелов в знаниях,</w:t>
      </w:r>
      <w:r w:rsidR="00C92CB3">
        <w:t xml:space="preserve"> навыках </w:t>
      </w:r>
      <w:r w:rsidR="007D79BF">
        <w:t xml:space="preserve">и умениях провести работу со студентами в индивидуальном порядке. </w:t>
      </w:r>
    </w:p>
    <w:p w:rsidR="0014212F" w:rsidRDefault="0014212F" w:rsidP="00F55E77">
      <w:pPr>
        <w:spacing w:line="360" w:lineRule="auto"/>
        <w:jc w:val="both"/>
      </w:pPr>
    </w:p>
    <w:p w:rsidR="00F55E77" w:rsidRDefault="00F55E77" w:rsidP="00F55E77">
      <w:pPr>
        <w:spacing w:line="360" w:lineRule="auto"/>
        <w:jc w:val="both"/>
      </w:pPr>
      <w:bookmarkStart w:id="0" w:name="_GoBack"/>
      <w:bookmarkEnd w:id="0"/>
      <w:r>
        <w:t>Библиографический список:</w:t>
      </w:r>
    </w:p>
    <w:p w:rsidR="00F55E77" w:rsidRDefault="00F55E77" w:rsidP="00F55E77">
      <w:pPr>
        <w:spacing w:line="360" w:lineRule="auto"/>
        <w:jc w:val="both"/>
      </w:pPr>
      <w:r>
        <w:t>Приказ Минтруда России от 02.11. 2015 № 831 «Об утверждении списка 50 наиболее востребованных на рынке труда, новых и перспективных профессий, требующих среднего профессионального образования» [Электронный ресурс] // Министерство труда и социальной защиты Российской Федерации.</w:t>
      </w:r>
    </w:p>
    <w:p w:rsidR="00F55E77" w:rsidRDefault="00F55E77" w:rsidP="00F55E77">
      <w:pPr>
        <w:spacing w:line="360" w:lineRule="auto"/>
        <w:jc w:val="both"/>
      </w:pPr>
      <w:r>
        <w:t>Приказ Минобрнауки России от 14.06.2013 № 464 (ред. от 15.12.2014)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 29200) [Электронный ресурс] // Московский центр образовательного права. URL: http://mcop.dogm.mos.ru/legislation/lawacts/1477500/.</w:t>
      </w:r>
    </w:p>
    <w:p w:rsidR="00F55E77" w:rsidRPr="00FB765B" w:rsidRDefault="00F55E77" w:rsidP="00F55E77">
      <w:pPr>
        <w:spacing w:line="360" w:lineRule="auto"/>
        <w:jc w:val="both"/>
      </w:pPr>
      <w:r>
        <w:t>Шомин И. И. Инновационная форма проведения квалификационного экзамена с использованием стандартов WorldSkills // Профессиональное образование и рынок труда. — 2018. — № 1. — С. 61–67.</w:t>
      </w:r>
    </w:p>
    <w:sectPr w:rsidR="00F55E77" w:rsidRPr="00FB765B" w:rsidSect="00B57DC0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E6613"/>
    <w:multiLevelType w:val="multilevel"/>
    <w:tmpl w:val="7AA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58"/>
    <w:rsid w:val="00021727"/>
    <w:rsid w:val="00045397"/>
    <w:rsid w:val="00073948"/>
    <w:rsid w:val="000E423E"/>
    <w:rsid w:val="000F7D6E"/>
    <w:rsid w:val="00103E88"/>
    <w:rsid w:val="0014212F"/>
    <w:rsid w:val="0018448A"/>
    <w:rsid w:val="001A76E1"/>
    <w:rsid w:val="00221FF4"/>
    <w:rsid w:val="002741B3"/>
    <w:rsid w:val="00302370"/>
    <w:rsid w:val="00323A98"/>
    <w:rsid w:val="00333E0B"/>
    <w:rsid w:val="003A3073"/>
    <w:rsid w:val="003A39D4"/>
    <w:rsid w:val="003C32DA"/>
    <w:rsid w:val="00406A02"/>
    <w:rsid w:val="00411E49"/>
    <w:rsid w:val="00413558"/>
    <w:rsid w:val="0041498E"/>
    <w:rsid w:val="0045467E"/>
    <w:rsid w:val="004C06C1"/>
    <w:rsid w:val="004E4688"/>
    <w:rsid w:val="00503929"/>
    <w:rsid w:val="00551069"/>
    <w:rsid w:val="00593F2E"/>
    <w:rsid w:val="005F399D"/>
    <w:rsid w:val="00630CAD"/>
    <w:rsid w:val="00697F60"/>
    <w:rsid w:val="006A021D"/>
    <w:rsid w:val="006B7877"/>
    <w:rsid w:val="00713A88"/>
    <w:rsid w:val="00716DB1"/>
    <w:rsid w:val="00735670"/>
    <w:rsid w:val="00752541"/>
    <w:rsid w:val="007602BF"/>
    <w:rsid w:val="0079254A"/>
    <w:rsid w:val="007D79BF"/>
    <w:rsid w:val="0080187D"/>
    <w:rsid w:val="00824FC3"/>
    <w:rsid w:val="008B4785"/>
    <w:rsid w:val="008C0D79"/>
    <w:rsid w:val="008E25AB"/>
    <w:rsid w:val="009012F8"/>
    <w:rsid w:val="00927798"/>
    <w:rsid w:val="0098455C"/>
    <w:rsid w:val="009A22DA"/>
    <w:rsid w:val="00A12D4E"/>
    <w:rsid w:val="00A54ED2"/>
    <w:rsid w:val="00A6253C"/>
    <w:rsid w:val="00AC2157"/>
    <w:rsid w:val="00AF425C"/>
    <w:rsid w:val="00B160DB"/>
    <w:rsid w:val="00B45728"/>
    <w:rsid w:val="00B57DC0"/>
    <w:rsid w:val="00B60800"/>
    <w:rsid w:val="00BB4F24"/>
    <w:rsid w:val="00BD2722"/>
    <w:rsid w:val="00C05708"/>
    <w:rsid w:val="00C06564"/>
    <w:rsid w:val="00C074BA"/>
    <w:rsid w:val="00C14C71"/>
    <w:rsid w:val="00C270BE"/>
    <w:rsid w:val="00C657CB"/>
    <w:rsid w:val="00C92CB3"/>
    <w:rsid w:val="00CA6CBD"/>
    <w:rsid w:val="00CB2F18"/>
    <w:rsid w:val="00CF67CC"/>
    <w:rsid w:val="00D44028"/>
    <w:rsid w:val="00D63C55"/>
    <w:rsid w:val="00D73C50"/>
    <w:rsid w:val="00DB2494"/>
    <w:rsid w:val="00DC14C7"/>
    <w:rsid w:val="00E42021"/>
    <w:rsid w:val="00E56419"/>
    <w:rsid w:val="00EA1451"/>
    <w:rsid w:val="00F55E77"/>
    <w:rsid w:val="00F871F4"/>
    <w:rsid w:val="00FB765B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765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0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06C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FB765B"/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765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0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06C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FB765B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A%D0%B8%D0%BB%D0%BB%D1%81-%D0%BF%D0%B0%D1%81%D0%BF%D0%BE%D1%80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4360-C950-40B1-B065-05C54636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11</cp:lastModifiedBy>
  <cp:revision>2</cp:revision>
  <dcterms:created xsi:type="dcterms:W3CDTF">2021-11-04T10:37:00Z</dcterms:created>
  <dcterms:modified xsi:type="dcterms:W3CDTF">2021-11-04T10:37:00Z</dcterms:modified>
</cp:coreProperties>
</file>