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E9C" w:rsidRPr="004C477C" w:rsidRDefault="00BD0E9C" w:rsidP="004C477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77C">
        <w:rPr>
          <w:rFonts w:ascii="Times New Roman" w:hAnsi="Times New Roman" w:cs="Times New Roman"/>
          <w:b/>
          <w:sz w:val="24"/>
          <w:szCs w:val="24"/>
        </w:rPr>
        <w:t xml:space="preserve">МОДЕРНИЗАЦИЯ СТОПОРНОГО УСТРОЙСТВА ПОДБИВОЧНЫХ БЛОКОВ МАШИНЫ </w:t>
      </w:r>
      <w:r w:rsidRPr="004C477C">
        <w:rPr>
          <w:rFonts w:ascii="Times New Roman" w:hAnsi="Times New Roman" w:cs="Times New Roman"/>
          <w:b/>
          <w:sz w:val="24"/>
          <w:szCs w:val="24"/>
          <w:lang w:val="en-US"/>
        </w:rPr>
        <w:t>DUOMATIC</w:t>
      </w:r>
      <w:r w:rsidRPr="004C477C">
        <w:rPr>
          <w:rFonts w:ascii="Times New Roman" w:hAnsi="Times New Roman" w:cs="Times New Roman"/>
          <w:b/>
          <w:sz w:val="24"/>
          <w:szCs w:val="24"/>
        </w:rPr>
        <w:t xml:space="preserve"> 09-32 </w:t>
      </w:r>
      <w:r w:rsidRPr="004C477C">
        <w:rPr>
          <w:rFonts w:ascii="Times New Roman" w:hAnsi="Times New Roman" w:cs="Times New Roman"/>
          <w:b/>
          <w:sz w:val="24"/>
          <w:szCs w:val="24"/>
          <w:lang w:val="en-US"/>
        </w:rPr>
        <w:t>CSM</w:t>
      </w:r>
    </w:p>
    <w:p w:rsidR="00937C60" w:rsidRPr="004C477C" w:rsidRDefault="00937C60" w:rsidP="004C477C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37C60" w:rsidRPr="004C477C" w:rsidRDefault="00063216" w:rsidP="004C477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477C">
        <w:rPr>
          <w:rFonts w:ascii="Times New Roman" w:hAnsi="Times New Roman" w:cs="Times New Roman"/>
          <w:b/>
          <w:sz w:val="24"/>
          <w:szCs w:val="24"/>
        </w:rPr>
        <w:t>Нечепуренко</w:t>
      </w:r>
      <w:r w:rsidR="00DD0211" w:rsidRPr="004C477C">
        <w:rPr>
          <w:rFonts w:ascii="Times New Roman" w:hAnsi="Times New Roman" w:cs="Times New Roman"/>
          <w:b/>
          <w:sz w:val="24"/>
          <w:szCs w:val="24"/>
        </w:rPr>
        <w:t xml:space="preserve"> Никита Игоревич, студент</w:t>
      </w:r>
    </w:p>
    <w:p w:rsidR="00DD0211" w:rsidRPr="004C477C" w:rsidRDefault="00DD0211" w:rsidP="004C477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477C">
        <w:rPr>
          <w:rFonts w:ascii="Times New Roman" w:hAnsi="Times New Roman" w:cs="Times New Roman"/>
          <w:b/>
          <w:sz w:val="24"/>
          <w:szCs w:val="24"/>
        </w:rPr>
        <w:t>Ахламенков Сергей Михайлович, преподаватель</w:t>
      </w:r>
    </w:p>
    <w:p w:rsidR="00BD6AC4" w:rsidRPr="004C477C" w:rsidRDefault="00BD6AC4" w:rsidP="004C47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 xml:space="preserve">Тайгинский институт железнодорожного транспорта – филиал федерального государственного бюджетного образовательного учреждения высшего образования «Омский государственный университет путей сообщения» </w:t>
      </w:r>
    </w:p>
    <w:p w:rsidR="00B96814" w:rsidRPr="00261FB3" w:rsidRDefault="00B96814" w:rsidP="00261FB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Выправочно-подбивочно-рихтовочная машина непрерывно-циклического действия Duomatic 09-32 CSM нацелена на выправку пути в продольном профиле, по уровню и в плане, уплотнения балласта под шпатами и с торцов шпал, всех видах ремонта и текущего содержания железнодорожного пути.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Машина предназначена для работы на верхнем строении пути с типом рельсов до Р 75 включительно с деревянными и железобетонными шпалами, на всех видах балласта. Наиболее эффективно использование машины на отделочных работах после капитального ремонта пути, до первого и второго подъемочного ремонта.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Машина (рисунок 1) включает две подвижные единицы - базовую машину и постоянно сцепленную с ней через универсальный шарнирный узел полуприцепную платформу 2, составляющие единицу ССПС. Базовая машина опирается на две тележки: тяговую 15 с приводными колесными парами в рабочем и транспортном режимах и бегунковая 25 с неприводными колесными парами. Платформа опирается на путь колесной парой 28, которая в транспортном режиме свободно вращается, а в рабочем режиме имеет привод от отдельного гидромотора через осевой редуктор для выборки зазора в шар-нирном узле и предотвращения колебаний рихтовочного троса-хорды.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Рабочее оборудование машины размещается на спутнике (сателлите) 18, который при работе машины направляется циклически в отличие от машины и платформы. Спутник сзади опирается на путь приводной колесной парой 23, а спереди связан с рамой 6 машины через горизонтальные направляющие и гидроцилиндр–ускоритель.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Машина имеет четырехточечной КИС рихтовки с измерением положения пути относительно натянутого между передней 14 и задней 29 тележками троса-хорды 17. Измерения осуществляются двумя датчиками стрел изгиба, один из которых расположен на измерительной тележке 20, другой на контрольно-измерительной тележке 26.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Машина оснащена системой выправки пути в продольном профиле и по уровню. Применена традиционная двух-тросовая система измерения, включающая нивелировочные 10 и контрольные устройства 24, между которыми слева и справа натянуты два троса 8. Измерения положения пути в продольном профиле осуществляются измерительным устройством 7, находящимся на подвижных рамах подбивочных блоков. На передней тележке 14, измерительном устройстве 7 и на тележке контрольных устройств 24 также установлены маятниковые датчики уровня.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Система управления выправкой может быть дополнительно оборудована устройствами корректировки положения пути в плане и продольном профиле по лазерному лучу. С этой целью в комплект машины включена лазерная тележка, а на передней тележке КИС устанавливается лазерная приемная камера 12. Функции управления маши-ной в рабочем и транспортном режимах распределены между кабиной машиниста 5 и кабиной оператора 11.</w:t>
      </w:r>
    </w:p>
    <w:p w:rsidR="009E460A" w:rsidRPr="004C477C" w:rsidRDefault="004C477C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7887A0" wp14:editId="2DF7FDB0">
            <wp:extent cx="5766340" cy="131662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40" cy="131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77C" w:rsidRPr="004C477C" w:rsidRDefault="004C477C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77C">
        <w:rPr>
          <w:rFonts w:ascii="Times New Roman" w:hAnsi="Times New Roman" w:cs="Times New Roman"/>
          <w:color w:val="000000" w:themeColor="text1"/>
          <w:sz w:val="24"/>
          <w:szCs w:val="24"/>
        </w:rPr>
        <w:t>1 - автосцепки; 2, 3 и 4 - полуприцепная платформа с бортами и дополнительным топливным баком; 5 и 11 - кабины машиниста и оператора; 6 - рама; 7, 10 и 24 - измерительное, нивелировочные и контрольные устройства; 8 и 17 - нивелировочные и рихтовочный трос-хорды; 9 - дизельный агрегат; 12 - лазерная приемная камера; 13 – каток с датчиком пути; 14, 20, 26 и 29 - передняя, измерительная, контрольно-измерительная и задняя тележки рихтовочной КИС; 15 и 25 - тяговая и бегунковая ходовые тележки; 16 - силовая передача (трансмиссия); 18 - спутник (сателлит); 19 - ПРУ; 21 - уплотнители балласта у торцов шпал; 22 - двухшпальные подбивочные блоки; 23 и 28 - приводные колесные пары спутника и платформы; 27 - рельсовые щетки.</w:t>
      </w:r>
    </w:p>
    <w:p w:rsidR="004C477C" w:rsidRDefault="004C477C" w:rsidP="004C47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E460A" w:rsidRPr="004C477C" w:rsidRDefault="009E460A" w:rsidP="004C47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 xml:space="preserve">Рисунок 1 - Выправочно-подбивочно-рихтовочная машина непрерывно-циклического действия </w:t>
      </w:r>
      <w:r w:rsidRPr="004C477C">
        <w:rPr>
          <w:rFonts w:ascii="Times New Roman" w:hAnsi="Times New Roman" w:cs="Times New Roman"/>
          <w:sz w:val="24"/>
          <w:szCs w:val="24"/>
          <w:lang w:val="en-US"/>
        </w:rPr>
        <w:t>Plasser</w:t>
      </w:r>
      <w:r w:rsidRPr="004C477C">
        <w:rPr>
          <w:rFonts w:ascii="Times New Roman" w:hAnsi="Times New Roman" w:cs="Times New Roman"/>
          <w:sz w:val="24"/>
          <w:szCs w:val="24"/>
        </w:rPr>
        <w:t xml:space="preserve"> </w:t>
      </w:r>
      <w:r w:rsidRPr="004C477C">
        <w:rPr>
          <w:rFonts w:ascii="Times New Roman" w:hAnsi="Times New Roman" w:cs="Times New Roman"/>
          <w:sz w:val="24"/>
          <w:szCs w:val="24"/>
          <w:lang w:val="en-US"/>
        </w:rPr>
        <w:t>Duomatic</w:t>
      </w:r>
      <w:r w:rsidRPr="004C477C">
        <w:rPr>
          <w:rFonts w:ascii="Times New Roman" w:hAnsi="Times New Roman" w:cs="Times New Roman"/>
          <w:sz w:val="24"/>
          <w:szCs w:val="24"/>
        </w:rPr>
        <w:t xml:space="preserve"> 09-32 </w:t>
      </w:r>
      <w:r w:rsidRPr="004C477C">
        <w:rPr>
          <w:rFonts w:ascii="Times New Roman" w:hAnsi="Times New Roman" w:cs="Times New Roman"/>
          <w:sz w:val="24"/>
          <w:szCs w:val="24"/>
          <w:lang w:val="en-US"/>
        </w:rPr>
        <w:t>CSM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77C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 рабочими органами машины Duomatic 09-32 CSM являются: подбивочные блоки, подъемно-рихтовочное устройство и уплотнители балласта у торцов шпал.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77C">
        <w:rPr>
          <w:rFonts w:ascii="Times New Roman" w:hAnsi="Times New Roman" w:cs="Times New Roman"/>
          <w:color w:val="000000" w:themeColor="text1"/>
          <w:sz w:val="24"/>
          <w:szCs w:val="24"/>
        </w:rPr>
        <w:t>Подъемно-рихтовочный блок предназначен для выправки пути в продольном профиле, по уровню и в плане. Управление выправочным устройством автоматическое от контрольно-измерительной системы с возможностью ручной корректировки с блоков управления.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77C">
        <w:rPr>
          <w:rFonts w:ascii="Times New Roman" w:hAnsi="Times New Roman" w:cs="Times New Roman"/>
          <w:color w:val="000000" w:themeColor="text1"/>
          <w:sz w:val="24"/>
          <w:szCs w:val="24"/>
        </w:rPr>
        <w:t>Уплотнители балласта у торцов шпал служат для уплотнения плеч балластной призмы одновременно с подбивкой балласта под шпалами и выправкой пути, что обеспечивает заделку пустот между торцами шпал и балластом, которые получают при рихтовке.</w:t>
      </w:r>
    </w:p>
    <w:p w:rsidR="005D48B9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77C">
        <w:rPr>
          <w:rFonts w:ascii="Times New Roman" w:hAnsi="Times New Roman" w:cs="Times New Roman"/>
          <w:color w:val="000000" w:themeColor="text1"/>
          <w:sz w:val="24"/>
          <w:szCs w:val="24"/>
        </w:rPr>
        <w:t>Подбивочные блоки (рисунок 2) служат для уплотнения балласта под шпалами и являются основными рабочими органами. На машине установлены два подбивочных блока, обеспечивающих одновременную подбивку двух шпал под каждой рельсовой ниткой.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77C">
        <w:rPr>
          <w:rFonts w:ascii="Times New Roman" w:hAnsi="Times New Roman" w:cs="Times New Roman"/>
          <w:color w:val="000000" w:themeColor="text1"/>
          <w:sz w:val="24"/>
          <w:szCs w:val="24"/>
        </w:rPr>
        <w:t>Подвижная рама подбивочных блоков состоит из нижней 1 и верхней 4 балок, соединенных вертикальными стойками 3. Между верхней и нижней балками установлены вертикальные направляющие 2, по которым перемещается подбивочный блок.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7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Подбивочный блок поднимается и опускается при помощи гидроцилиндров. Шток гидроцилиндра соединен с корпусом подбивочного блока при помощи шарнирного устройства, фланец 12 которого болтами крепится к корпусу блока. На шток гидроцилиндра 9 установлено V-образное кольцо 11, стопорное кольцо 13, осевой подшипник 14 и все это стянуто гайкой 15. В расточку подбивочного блока установлен второй осевой подшипник 16. На корпусе гидроцилиндра 9 имеются цапфы, которыми он установлен в крестовине 7. Крестовина имеет шипы, опирающиеся на планки 8 привернутые к проушинам верхней поперечины подвижной рамы. Крестовина состоит из двух половин, соединенных между собой болтами 6. </w:t>
      </w:r>
    </w:p>
    <w:p w:rsidR="009E460A" w:rsidRPr="004C477C" w:rsidRDefault="009E460A" w:rsidP="004C477C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C47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CC0662" wp14:editId="371D8EFB">
            <wp:extent cx="2714625" cy="155863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10286" r="14697" b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0A" w:rsidRPr="004C477C" w:rsidRDefault="009E460A" w:rsidP="004C47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7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– нижняя балка; 2 – вертикальные направляющие; 3 – вертикальные балки; 4 – верхняя балка; 5 – установка гидроцилиндра; 6,10 – болт; 7 – крестовина; 8 – планка; 9 – гидроцилиндр; 11 – </w:t>
      </w:r>
      <w:r w:rsidRPr="004C47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4C47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-образное кольцо; 12 – фланец; 13 – кольцо; 14,16 – осевой подшипник; 15 – гайка. </w:t>
      </w:r>
    </w:p>
    <w:p w:rsidR="009E460A" w:rsidRDefault="009E460A" w:rsidP="004C47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477C" w:rsidRPr="004C477C" w:rsidRDefault="004C477C" w:rsidP="004C477C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77C">
        <w:rPr>
          <w:rFonts w:ascii="Times New Roman" w:hAnsi="Times New Roman" w:cs="Times New Roman"/>
          <w:color w:val="000000" w:themeColor="text1"/>
          <w:sz w:val="24"/>
          <w:szCs w:val="24"/>
        </w:rPr>
        <w:t>Рисунок 2 – Подвеска подбивочных блоков</w:t>
      </w:r>
    </w:p>
    <w:p w:rsidR="004C477C" w:rsidRPr="004C477C" w:rsidRDefault="004C477C" w:rsidP="004C47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В транспортном положении подбивочные блоки крепятся при помощи транспортного крепления. Транспортное крепление (рисунок 3) представляет собой штангу 19, которая шарнирно соединена с консолью 14, в которой установлена втулка с двух сторон. Во втулку устанавливается палец 16 на конце которого устанавливается шайба 17 со шплинтом 18. Косынка устанавливается на раме сателлита подбивочного блока.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Переключение штанги с рабочего режима в транспортное положение и наоборот, осуществляется при помощи пневмоцилиндра 11, установленного на раме подбивочного блока сателлита через опорную стойку13. Пневмоцилиндр соединен шарнирно через кронштейн со штангой.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 xml:space="preserve">Контроль положения штанги, осуществляется при помощи концевого выключателя 7, расположенного на раме сателлита подбивочного блока. </w:t>
      </w:r>
    </w:p>
    <w:p w:rsidR="009E460A" w:rsidRPr="004C477C" w:rsidRDefault="009E460A" w:rsidP="004C47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30190" wp14:editId="025FA4A4">
            <wp:extent cx="2505075" cy="1791656"/>
            <wp:effectExtent l="0" t="0" r="0" b="0"/>
            <wp:docPr id="6" name="Рисунок 6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7854" r="42305" b="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9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477C">
        <w:rPr>
          <w:rFonts w:ascii="Times New Roman" w:hAnsi="Times New Roman" w:cs="Times New Roman"/>
          <w:color w:val="000000" w:themeColor="text1"/>
          <w:sz w:val="24"/>
          <w:szCs w:val="24"/>
        </w:rPr>
        <w:t>1 – болт; 2 – шайба; 3- фланец; 4 – основание; 5 – винт; 6 – шайба; 7 – конечный выключатель; 8 – шарнир; 9 – шайба; 10 – гайка; 11 – цилиндр пневматический; 12 – фланец; 13 – опорная стойка; 14 – консоль; 15 – подшипник; 16 – палец; 17 – шайба; 18 – шплинт; 19 – штанга; 20 – основание</w:t>
      </w:r>
    </w:p>
    <w:p w:rsidR="009E460A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477C" w:rsidRPr="004C477C" w:rsidRDefault="004C477C" w:rsidP="004C47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 xml:space="preserve">Рисунок 3 – Транспортное крепление подбивочных блоков машины </w:t>
      </w:r>
      <w:r w:rsidRPr="004C477C">
        <w:rPr>
          <w:rFonts w:ascii="Times New Roman" w:hAnsi="Times New Roman" w:cs="Times New Roman"/>
          <w:sz w:val="24"/>
          <w:szCs w:val="24"/>
          <w:lang w:val="en-US"/>
        </w:rPr>
        <w:t>Duomatic</w:t>
      </w:r>
      <w:r w:rsidRPr="004C477C">
        <w:rPr>
          <w:rFonts w:ascii="Times New Roman" w:hAnsi="Times New Roman" w:cs="Times New Roman"/>
          <w:sz w:val="24"/>
          <w:szCs w:val="24"/>
        </w:rPr>
        <w:t xml:space="preserve"> 09-32 </w:t>
      </w:r>
      <w:r w:rsidRPr="004C477C">
        <w:rPr>
          <w:rFonts w:ascii="Times New Roman" w:hAnsi="Times New Roman" w:cs="Times New Roman"/>
          <w:sz w:val="24"/>
          <w:szCs w:val="24"/>
          <w:lang w:val="en-US"/>
        </w:rPr>
        <w:t>CSM</w:t>
      </w:r>
    </w:p>
    <w:p w:rsidR="004C477C" w:rsidRDefault="004C477C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 xml:space="preserve">При переводе ПБ в транспортный режим фиксация производится транспортной штангой. 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 xml:space="preserve">Предлагаемый вариант изменения (рисунок 4) транспортного крепления позволить облегчить конструкцию, изменить положение датчика заглубления ПБ, что обеспечит удобство ТО и настройки датчиков заглубления, а также удобство перевода подбивочного блока в транспортное положение в аварийных ситуациях. </w:t>
      </w:r>
    </w:p>
    <w:p w:rsidR="009E460A" w:rsidRPr="004C477C" w:rsidRDefault="009E460A" w:rsidP="004C47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3BEB51" wp14:editId="57BF3DB2">
            <wp:extent cx="2600325" cy="172911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4564" r="28641" b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2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 xml:space="preserve">1 – рама блока; 2 – датчик положения блоков; 3 – цилиндрические направляющие; 4 – подбивочные блоки; 5 – гидроцилиндр передвижения подбивочных блоков; 6 – транспортное крепление; 7 – установка гидроцилиндра; 8 – нижняя балка </w:t>
      </w:r>
    </w:p>
    <w:p w:rsidR="004C477C" w:rsidRDefault="004C477C" w:rsidP="004C47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C477C" w:rsidRPr="004C477C" w:rsidRDefault="004C477C" w:rsidP="004C47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Рисунок 4 – Подвеска подбивочного блока модернизированная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 xml:space="preserve">На раме сателлита подбивочного блока устанавливается корпус 1 (рисунок 5), в котором установлен стопор 17 через втулки. На конце стопора установлена втулка, в которую устанавливается конусный стопор 16. Выдвижение и задвижка стопора производится пневмоцилиндром 2, шток которого через палец соединен с самим стопором. Так же на корпусе установлен сайлент-блок 3 для смазки крепления пневматического цилиндра и пальца, соединенного с корпусом.  </w:t>
      </w:r>
    </w:p>
    <w:p w:rsidR="009E460A" w:rsidRPr="004C477C" w:rsidRDefault="009E460A" w:rsidP="004C47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EBA24" wp14:editId="7027E72B">
            <wp:extent cx="3352800" cy="20074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0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 xml:space="preserve">1 – корпус; 2 – пневмоцилиндр; 3 – сайлент-блок; 4,7,11 – шайба; 5,13 – кольцо; 6, 15-ось; 8 – шплинт; 9 – втулка; 10 – болт; 12 – опора; 14 – головка вильчатая; 16 – палец; 17 – стопор </w:t>
      </w:r>
    </w:p>
    <w:p w:rsidR="009E460A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477C" w:rsidRPr="004C477C" w:rsidRDefault="004C477C" w:rsidP="004C47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Рисунок 5 – Транспортное крепления модернизированное</w:t>
      </w:r>
    </w:p>
    <w:p w:rsidR="004C477C" w:rsidRPr="004C477C" w:rsidRDefault="004C477C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 xml:space="preserve">При подъемке блока в транспортное положение крепление проушины блока имеет специальное посадочное отверстие для транспортного стопора, в который устанавливается конический палец и при опуске блока проушина фиксируется пальцем при помощи пневмоцилиндра. </w:t>
      </w:r>
    </w:p>
    <w:p w:rsidR="009E460A" w:rsidRPr="004C477C" w:rsidRDefault="009E460A" w:rsidP="004C4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 xml:space="preserve">На боковой раме ПБ сателлита устанавливается датчик заглубления вместо верхней части. А фиксирующая планка устанавливается на боковой части блока вместо верхней части. Это позволяет облегчить работу при настройке и ремонте датчика заглубления подбивочного блока. </w:t>
      </w:r>
    </w:p>
    <w:p w:rsidR="009E460A" w:rsidRPr="004C477C" w:rsidRDefault="009E460A" w:rsidP="00B34C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В процессе конструктивного изменения стопорного устройства подбивочного блока при относительно небольших затратах уменьшается время на настройку и техническое обслуживание датчика заглубления подбивочного блока, значительно снижается вес транспортного крепления, уменьшается время, затраченное на перевод подбивочного блока в аварийных ситуациях.</w:t>
      </w:r>
    </w:p>
    <w:p w:rsidR="009E460A" w:rsidRPr="004C477C" w:rsidRDefault="009E460A" w:rsidP="004C477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C477C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79114E" w:rsidRPr="004C477C" w:rsidRDefault="0079114E" w:rsidP="004C477C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4C477C">
        <w:rPr>
          <w:color w:val="000000"/>
        </w:rPr>
        <w:t xml:space="preserve">1. Основы эксплуатации путевых и строительных машин: учеб. Пособие / А. П. Кравникова – М. : ФГБОУ «Учебно-методический центр по образованию на железнодорожном транспорте», 2017. - 182 с. </w:t>
      </w:r>
      <w:r w:rsidRPr="004C477C">
        <w:rPr>
          <w:color w:val="000000" w:themeColor="text1"/>
          <w:shd w:val="clear" w:color="auto" w:fill="FFFFFF"/>
        </w:rPr>
        <w:t>ISBN 978-5-89035-896-7</w:t>
      </w:r>
    </w:p>
    <w:p w:rsidR="0079114E" w:rsidRPr="004C477C" w:rsidRDefault="0079114E" w:rsidP="004C477C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77C">
        <w:rPr>
          <w:bCs/>
          <w:color w:val="000000" w:themeColor="text1"/>
        </w:rPr>
        <w:t>2. Путевые машины: Учебник для вузов ж.-д. транс/ С.А. Соломонов, М.В.Попович, В.М. Бугаенко и др. Под ред. С.А. Соломонова. — М.</w:t>
      </w:r>
      <w:r w:rsidR="004864BF" w:rsidRPr="004C477C">
        <w:rPr>
          <w:bCs/>
          <w:color w:val="000000" w:themeColor="text1"/>
        </w:rPr>
        <w:t xml:space="preserve"> </w:t>
      </w:r>
      <w:r w:rsidRPr="004C477C">
        <w:rPr>
          <w:bCs/>
          <w:color w:val="000000" w:themeColor="text1"/>
        </w:rPr>
        <w:t xml:space="preserve">: Желдориздат 2000 </w:t>
      </w:r>
      <w:r w:rsidR="004864BF" w:rsidRPr="004C477C">
        <w:rPr>
          <w:color w:val="000000"/>
        </w:rPr>
        <w:t xml:space="preserve">– </w:t>
      </w:r>
      <w:r w:rsidRPr="004C477C">
        <w:rPr>
          <w:bCs/>
          <w:color w:val="000000" w:themeColor="text1"/>
        </w:rPr>
        <w:t xml:space="preserve">756 с. </w:t>
      </w:r>
      <w:r w:rsidRPr="004C477C">
        <w:rPr>
          <w:bCs/>
          <w:color w:val="000000" w:themeColor="text1"/>
          <w:lang w:val="en-US"/>
        </w:rPr>
        <w:t>ISBN</w:t>
      </w:r>
      <w:r w:rsidRPr="004C477C">
        <w:rPr>
          <w:bCs/>
          <w:color w:val="000000" w:themeColor="text1"/>
        </w:rPr>
        <w:t xml:space="preserve"> 5-94069-007-6</w:t>
      </w:r>
    </w:p>
    <w:p w:rsidR="00937C60" w:rsidRPr="004C477C" w:rsidRDefault="0079114E" w:rsidP="004C477C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4C477C">
        <w:rPr>
          <w:color w:val="000000"/>
        </w:rPr>
        <w:t xml:space="preserve">3. Руководство по эксплуатации </w:t>
      </w:r>
      <w:r w:rsidRPr="004C477C">
        <w:rPr>
          <w:color w:val="000000"/>
          <w:lang w:val="en-US"/>
        </w:rPr>
        <w:t>DUOMATIK</w:t>
      </w:r>
      <w:r w:rsidRPr="004C477C">
        <w:rPr>
          <w:color w:val="000000"/>
        </w:rPr>
        <w:t xml:space="preserve"> 09-32 </w:t>
      </w:r>
      <w:r w:rsidRPr="004C477C">
        <w:rPr>
          <w:color w:val="000000"/>
          <w:lang w:val="en-US"/>
        </w:rPr>
        <w:t>CSM</w:t>
      </w:r>
      <w:r w:rsidRPr="004C477C">
        <w:rPr>
          <w:color w:val="000000"/>
        </w:rPr>
        <w:t xml:space="preserve">, технологические инструкции на ТО, ремонт и работу машины </w:t>
      </w:r>
      <w:r w:rsidRPr="004C477C">
        <w:rPr>
          <w:color w:val="000000"/>
          <w:lang w:val="en-US"/>
        </w:rPr>
        <w:t>DUOMATIK</w:t>
      </w:r>
      <w:r w:rsidRPr="004C477C">
        <w:rPr>
          <w:color w:val="000000"/>
        </w:rPr>
        <w:t xml:space="preserve"> 09-32 </w:t>
      </w:r>
      <w:r w:rsidRPr="004C477C">
        <w:rPr>
          <w:color w:val="000000"/>
          <w:lang w:val="en-US"/>
        </w:rPr>
        <w:t>CSM</w:t>
      </w:r>
    </w:p>
    <w:sectPr w:rsidR="00937C60" w:rsidRPr="004C477C" w:rsidSect="00BD0E9C"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46E" w:rsidRDefault="001C746E" w:rsidP="008277B5">
      <w:pPr>
        <w:spacing w:after="0" w:line="240" w:lineRule="auto"/>
      </w:pPr>
      <w:r>
        <w:separator/>
      </w:r>
    </w:p>
  </w:endnote>
  <w:endnote w:type="continuationSeparator" w:id="0">
    <w:p w:rsidR="001C746E" w:rsidRDefault="001C746E" w:rsidP="0082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023880"/>
      <w:docPartObj>
        <w:docPartGallery w:val="Page Numbers (Bottom of Page)"/>
        <w:docPartUnique/>
      </w:docPartObj>
    </w:sdtPr>
    <w:sdtEndPr/>
    <w:sdtContent>
      <w:p w:rsidR="008277B5" w:rsidRDefault="008277B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46E">
          <w:rPr>
            <w:noProof/>
          </w:rPr>
          <w:t>1</w:t>
        </w:r>
        <w:r>
          <w:fldChar w:fldCharType="end"/>
        </w:r>
      </w:p>
    </w:sdtContent>
  </w:sdt>
  <w:p w:rsidR="008277B5" w:rsidRDefault="008277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46E" w:rsidRDefault="001C746E" w:rsidP="008277B5">
      <w:pPr>
        <w:spacing w:after="0" w:line="240" w:lineRule="auto"/>
      </w:pPr>
      <w:r>
        <w:separator/>
      </w:r>
    </w:p>
  </w:footnote>
  <w:footnote w:type="continuationSeparator" w:id="0">
    <w:p w:rsidR="001C746E" w:rsidRDefault="001C746E" w:rsidP="00827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C6DFB"/>
    <w:multiLevelType w:val="hybridMultilevel"/>
    <w:tmpl w:val="4E462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5CB"/>
    <w:rsid w:val="00013D6F"/>
    <w:rsid w:val="00063216"/>
    <w:rsid w:val="000A7816"/>
    <w:rsid w:val="000C5F61"/>
    <w:rsid w:val="000F0500"/>
    <w:rsid w:val="00107D1F"/>
    <w:rsid w:val="001C746E"/>
    <w:rsid w:val="00240D3A"/>
    <w:rsid w:val="00261FB3"/>
    <w:rsid w:val="002B2D22"/>
    <w:rsid w:val="002D5FD2"/>
    <w:rsid w:val="00301617"/>
    <w:rsid w:val="003808D9"/>
    <w:rsid w:val="003A6A63"/>
    <w:rsid w:val="003C57E1"/>
    <w:rsid w:val="00415E15"/>
    <w:rsid w:val="00435B8A"/>
    <w:rsid w:val="00453F61"/>
    <w:rsid w:val="004864BF"/>
    <w:rsid w:val="004C477C"/>
    <w:rsid w:val="00535ED9"/>
    <w:rsid w:val="0058236F"/>
    <w:rsid w:val="005D48B9"/>
    <w:rsid w:val="005E0BE2"/>
    <w:rsid w:val="007249D9"/>
    <w:rsid w:val="007524D5"/>
    <w:rsid w:val="0075447B"/>
    <w:rsid w:val="00780608"/>
    <w:rsid w:val="0079114E"/>
    <w:rsid w:val="00792B23"/>
    <w:rsid w:val="007A4515"/>
    <w:rsid w:val="007B6DBA"/>
    <w:rsid w:val="007E4655"/>
    <w:rsid w:val="008277B5"/>
    <w:rsid w:val="00890B34"/>
    <w:rsid w:val="008927A9"/>
    <w:rsid w:val="008C024D"/>
    <w:rsid w:val="008D7E82"/>
    <w:rsid w:val="00937C60"/>
    <w:rsid w:val="009735E5"/>
    <w:rsid w:val="00994CE6"/>
    <w:rsid w:val="009E460A"/>
    <w:rsid w:val="00A42E2C"/>
    <w:rsid w:val="00A645ED"/>
    <w:rsid w:val="00AB6F2C"/>
    <w:rsid w:val="00AE0CFD"/>
    <w:rsid w:val="00B139A6"/>
    <w:rsid w:val="00B34C30"/>
    <w:rsid w:val="00B96814"/>
    <w:rsid w:val="00BD0E9C"/>
    <w:rsid w:val="00BD6AC4"/>
    <w:rsid w:val="00C2366F"/>
    <w:rsid w:val="00C336B6"/>
    <w:rsid w:val="00C5674E"/>
    <w:rsid w:val="00C75EC3"/>
    <w:rsid w:val="00D07110"/>
    <w:rsid w:val="00D315CB"/>
    <w:rsid w:val="00D70621"/>
    <w:rsid w:val="00DA4345"/>
    <w:rsid w:val="00DD0211"/>
    <w:rsid w:val="00DE6595"/>
    <w:rsid w:val="00E236D3"/>
    <w:rsid w:val="00E40384"/>
    <w:rsid w:val="00E51533"/>
    <w:rsid w:val="00E753B4"/>
    <w:rsid w:val="00EA65ED"/>
    <w:rsid w:val="00EE2586"/>
    <w:rsid w:val="00F87F64"/>
    <w:rsid w:val="00FC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277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0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753B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27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77B5"/>
  </w:style>
  <w:style w:type="paragraph" w:styleId="a7">
    <w:name w:val="footer"/>
    <w:basedOn w:val="a"/>
    <w:link w:val="a8"/>
    <w:uiPriority w:val="99"/>
    <w:unhideWhenUsed/>
    <w:rsid w:val="00827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77B5"/>
  </w:style>
  <w:style w:type="paragraph" w:styleId="a9">
    <w:name w:val="List Paragraph"/>
    <w:basedOn w:val="a"/>
    <w:uiPriority w:val="34"/>
    <w:qFormat/>
    <w:rsid w:val="008277B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277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9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0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277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0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753B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27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77B5"/>
  </w:style>
  <w:style w:type="paragraph" w:styleId="a7">
    <w:name w:val="footer"/>
    <w:basedOn w:val="a"/>
    <w:link w:val="a8"/>
    <w:uiPriority w:val="99"/>
    <w:unhideWhenUsed/>
    <w:rsid w:val="00827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77B5"/>
  </w:style>
  <w:style w:type="paragraph" w:styleId="a9">
    <w:name w:val="List Paragraph"/>
    <w:basedOn w:val="a"/>
    <w:uiPriority w:val="34"/>
    <w:qFormat/>
    <w:rsid w:val="008277B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277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9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0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3F558-CB2A-4959-894D-985F5D32D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5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27</cp:revision>
  <dcterms:created xsi:type="dcterms:W3CDTF">2021-03-10T16:42:00Z</dcterms:created>
  <dcterms:modified xsi:type="dcterms:W3CDTF">2021-05-25T02:34:00Z</dcterms:modified>
</cp:coreProperties>
</file>