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9E" w:rsidRDefault="009A2C9E" w:rsidP="009A2C9E">
      <w:pPr>
        <w:widowControl w:val="0"/>
        <w:autoSpaceDE w:val="0"/>
        <w:autoSpaceDN w:val="0"/>
        <w:spacing w:after="0" w:line="240" w:lineRule="auto"/>
        <w:ind w:left="939" w:right="283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2C9E">
        <w:rPr>
          <w:rFonts w:ascii="Times New Roman" w:eastAsia="Times New Roman" w:hAnsi="Times New Roman" w:cs="Times New Roman"/>
          <w:b/>
          <w:bCs/>
          <w:sz w:val="28"/>
          <w:szCs w:val="28"/>
        </w:rPr>
        <w:t>КОМБИНИРОВАННЫЕ ЭНЕРГЕТИЧЕСКИЕ УСТАНОВКИ</w:t>
      </w:r>
    </w:p>
    <w:p w:rsidR="009A2C9E" w:rsidRPr="00125774" w:rsidRDefault="00125774" w:rsidP="009A2C9E">
      <w:pPr>
        <w:spacing w:after="0" w:line="360" w:lineRule="auto"/>
        <w:ind w:left="-284" w:right="-42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5774">
        <w:rPr>
          <w:rFonts w:ascii="Times New Roman" w:hAnsi="Times New Roman" w:cs="Times New Roman"/>
          <w:b/>
          <w:sz w:val="24"/>
          <w:szCs w:val="24"/>
        </w:rPr>
        <w:t>Грачева Римма Александровна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студентка 1 курса </w:t>
      </w:r>
    </w:p>
    <w:p w:rsidR="009A2C9E" w:rsidRDefault="009A2C9E" w:rsidP="009A2C9E">
      <w:pPr>
        <w:spacing w:after="0" w:line="360" w:lineRule="auto"/>
        <w:ind w:left="-284" w:right="-42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руководитель Грачева Алина Валентиновна, преподаватель</w:t>
      </w:r>
    </w:p>
    <w:p w:rsidR="009A2C9E" w:rsidRDefault="009A2C9E" w:rsidP="009A2C9E">
      <w:pPr>
        <w:spacing w:after="0" w:line="360" w:lineRule="auto"/>
        <w:ind w:left="-284" w:right="-42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Одним из принципов энергетической стратегии России, утвержденной в 2010 году, является обеспечение удаленных потребителей энергией. Одним из способов решения указанной проблемы является использование комбинированных (или гибридных) энергетических установок (КЭУ), позволяющих объединить преимущества агрегатов, работающих на углеводородном топливе, </w:t>
      </w:r>
      <w:proofErr w:type="spellStart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электронакопительных</w:t>
      </w:r>
      <w:proofErr w:type="spellEnd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устройств, а также возобновляемых источниках энергии [1].</w:t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 связи с уменьшением запасов углеводородного топлива все более популярной становится идея использования возобновляемых источников энергии в качестве дополнительного или основного источника питания двигатель-генераторной установки. В состав такой установки входит электроэнергетический модуль – комплекс устройств, объединяющих различные источники энергии и осуществляющих согласование и преобразование напряжений этих источников с целью электропитания потребителей переменного тока [2].</w:t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Преимуществами КЭУ можно назвать:</w:t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Оптимизация расхода углеводородного топлива.</w:t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Обеспечение постоянного энергоснабжения при минимально возможном времени работы двигателя внутреннего сгорания [1].</w:t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Уменьшение уровня экологической опасности, </w:t>
      </w:r>
      <w:proofErr w:type="gramStart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высокие  экологические</w:t>
      </w:r>
      <w:proofErr w:type="gramEnd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показатели, в том числе и акустические.</w:t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Рост энергетической эффективности системы в целом за счет комбинирования различных источников энергии и </w:t>
      </w:r>
      <w:proofErr w:type="spellStart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электронакопительных</w:t>
      </w:r>
      <w:proofErr w:type="spellEnd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устройств.</w:t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По степени использования возобновляемых источников энергии КЭУ можно подразделить на 3 группы:</w:t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Системы, в которых в качестве основного источника энергии используется двигатель-генераторная установка. Применение возобновляемых источников энергии ограничено функцией снижения расхода топлива за счет обеспечения дополнительной мощности комбинированной установки.</w:t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Системы, в которых в качестве основного источника энергии используются возобновляемые источники. Двигатель внутреннего сгорания в такой установке является вспомогательным источником энергии и начинает работать лишь тогда, когда напряжение аккумуляторной батареи снижается до определенного, заданного уровня, после чего осуществляется её заряд [1].</w:t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Системы, в которых используются только возобновляемые источники энергии.</w:t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>Уровень использования возобновляемых источников энергии зависит от требуемых условий эксплуатации, климатических условий региона и других факторов [2].</w:t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 последнее время наибольшее распространение находят комбинированные дизель-ветровые и дизель-фотоэлектрические автономные установки. Для энергоснабжения прибрежных населённых пунктов наряду с солнечной и ветровой может быть использована и волновая энергия.</w:t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Известны также комбинированные установки, в которых использование энергии ветра сочетается с другими различными видами возобновляемых источников энергии. Самыми распространенными считаются следующие комбинации:</w:t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Ветровая установка, фотоэлектрическая батарея, аккумуляторная батарея (рисунок);</w:t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Ветровая установка и микро или малая гидроэлектростанция (ГЭС);</w:t>
      </w:r>
    </w:p>
    <w:p w:rsid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Ветровая установка и волновой преобразователь.</w:t>
      </w:r>
    </w:p>
    <w:p w:rsid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06D8FE4F" wp14:editId="4DA0D5CB">
            <wp:extent cx="2022110" cy="1990725"/>
            <wp:effectExtent l="0" t="0" r="0" b="0"/>
            <wp:docPr id="2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454" cy="199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Рисунок 1 - </w:t>
      </w: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Комбинированная </w:t>
      </w:r>
      <w:proofErr w:type="spellStart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ветро</w:t>
      </w:r>
      <w:proofErr w:type="spellEnd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-солнечная энергоустановка</w:t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Полученная от ветровых, гидроэнергетических и солнечных установок электроэнергия поступает в трансформаторно-аккумуляторную подстанцию, затем направляется в систему электроснабжения небольшого населенного пункта и </w:t>
      </w:r>
      <w:proofErr w:type="spellStart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электрокотельную</w:t>
      </w:r>
      <w:proofErr w:type="spellEnd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где она применяется для подогрева воды, впоследствии используемой для отопления и горячего водоснабжения. Выработка тепла для нагрева воды возможна и при </w:t>
      </w:r>
      <w:proofErr w:type="spellStart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когенерационной</w:t>
      </w:r>
      <w:proofErr w:type="spellEnd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выработке энергии с помощью топливных генераторных установок [3].</w:t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В некоторых случаях наиболее приемлемым и перспективным является строительство </w:t>
      </w:r>
      <w:proofErr w:type="spellStart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ветроволновой</w:t>
      </w:r>
      <w:proofErr w:type="spellEnd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энергетической установки, которая при наличии ветра и (или) волн позволяет вырабатывать электрическую энергию, которая может использоваться для нужд прибрежного поселка, буровых и нефтегазовых установок и других потребителей. В различных комбинациях могут быть использованы и солнечные установки [1].</w:t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Ярким примером такой КЭУ является разработанная в 2010 году многоцелевая </w:t>
      </w:r>
      <w:proofErr w:type="spellStart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ветроволновая</w:t>
      </w:r>
      <w:proofErr w:type="spellEnd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установка морского базирования, обладающая высокими морскими качествами, эксплуатационной надежностью, широкой сферой применения [4]. Ученые Балтийского </w:t>
      </w: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>федерального университета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разрабатывают российскую автономную энергоустановку, которая генерирует энергию от солнца и ветра одновременно [5].</w:t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Одним из достижений Ленинградской области в вопросе применения КЭУ является использование 4 экспериментальных </w:t>
      </w:r>
      <w:proofErr w:type="spellStart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ветро</w:t>
      </w:r>
      <w:proofErr w:type="spellEnd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-солнечных энергоустановок, освещающих опасную часть трассы Санкт-Петербург - Нарва. Аккумуляторная батарея данных установок расположена в подземной части, что приводит к практически максимальной эффективности установки. Ротор </w:t>
      </w:r>
      <w:proofErr w:type="spellStart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Савониуса</w:t>
      </w:r>
      <w:proofErr w:type="spellEnd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 объединенный с ротором Дарье, являющийся частью данной системы, начинает вырабатывать электроэнергию при скорости ветра 1,5-2 м/с. Другая часть энергии вырабатывается за счет фотоэлементов [6].</w:t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Из явных недостатков КЭУ, использующих только возобновляемые источники энергии, можно отметить относительно низкую плотность энергетически потоков (для солнечной энергии среднегодовая мощность не превышает 200-250 Вт/м</w:t>
      </w: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zh-CN"/>
        </w:rPr>
        <w:t>2</w:t>
      </w: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 а для ветра при средней скорости 5-6 м/с – менее</w:t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100 Вт/м</w:t>
      </w: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zh-CN"/>
        </w:rPr>
        <w:t>2</w:t>
      </w: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), их нерегулярность и зависимость от сезонных и погодных условий. Кроме того, подобная система требует стабилизации процессов её управления.</w:t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Некоторые последние отечественные и зарубежные исследования показывают, что частичным решением данной проблемы может стать применение в автономных энергоустановках водородных накопителей, обеспечивающих эффективное долгосрочное аккумулирование энергии. Это может привести к формированию полностью автономных, экологически безопасных, автоматизированных гибридных энергоустановок с очень высокими потребительскими качествами [7].</w:t>
      </w:r>
    </w:p>
    <w:p w:rsidR="009A2C9E" w:rsidRP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Подводя итог, можно сказать, что исследования показывают, что применение солнечных и ветровых установок в качестве первичных источников энергии позволяет создать полностью автономные КЭУ, которые способны обеспечить в различных климатических условиях гарантированное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энергоснабжение, по крайней мере, небольших потребителей, что и является основной целью создания комбинированных энергоустановок.</w:t>
      </w:r>
    </w:p>
    <w:p w:rsidR="009A2C9E" w:rsidRPr="009A2C9E" w:rsidRDefault="009A2C9E" w:rsidP="009A2C9E">
      <w:pPr>
        <w:suppressAutoHyphens/>
        <w:autoSpaceDE w:val="0"/>
        <w:spacing w:after="0" w:line="360" w:lineRule="auto"/>
        <w:ind w:left="22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Список использованных источников</w:t>
      </w:r>
    </w:p>
    <w:p w:rsidR="009A2C9E" w:rsidRPr="009A2C9E" w:rsidRDefault="009A2C9E" w:rsidP="009A2C9E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Комбинированные энергоустановки [Электронный ресурс] // </w:t>
      </w:r>
      <w:proofErr w:type="spellStart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Познайка.Орг</w:t>
      </w:r>
      <w:proofErr w:type="spellEnd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- Сайт знаний. URL:http://poznayka.org/s65322t1.html (дата обращения: 15.11.2017).</w:t>
      </w:r>
    </w:p>
    <w:p w:rsidR="009A2C9E" w:rsidRPr="009A2C9E" w:rsidRDefault="009A2C9E" w:rsidP="009A2C9E">
      <w:pPr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Сидоров К.М. Комбинированные энергетические установки в системе автономного электроснабжения [Электронный ресурс] / К.М. Сидоров, В.Е. </w:t>
      </w:r>
      <w:proofErr w:type="spellStart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Ютт</w:t>
      </w:r>
      <w:proofErr w:type="spellEnd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Т.В. Голубчик // </w:t>
      </w:r>
      <w:proofErr w:type="spellStart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Infinit</w:t>
      </w:r>
      <w:proofErr w:type="spellEnd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power</w:t>
      </w:r>
      <w:proofErr w:type="spellEnd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 URL:http://autopower.pro/news (дата обращения: 15.11.2017).</w:t>
      </w:r>
    </w:p>
    <w:p w:rsidR="009A2C9E" w:rsidRPr="009A2C9E" w:rsidRDefault="009A2C9E" w:rsidP="009A2C9E">
      <w:pPr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Гудков С.А. </w:t>
      </w:r>
      <w:proofErr w:type="spellStart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Когенерация</w:t>
      </w:r>
      <w:proofErr w:type="spellEnd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использование </w:t>
      </w:r>
      <w:proofErr w:type="spellStart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когенерационных</w:t>
      </w:r>
      <w:proofErr w:type="spellEnd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установок [Электронный ресурс] / С.А. Гудков, Е.А. Лебедева. – Нижний Новгород, РФ, ННГАСУ. URL: www.rae.ru/forum2012/pdf/2930.pdf (дата обращения: 15.11.2017).</w:t>
      </w:r>
    </w:p>
    <w:p w:rsidR="009A2C9E" w:rsidRPr="009A2C9E" w:rsidRDefault="009A2C9E" w:rsidP="009A2C9E">
      <w:pPr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 xml:space="preserve">Шпаков Г. Многоцелевая </w:t>
      </w:r>
      <w:proofErr w:type="spellStart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ветроволновая</w:t>
      </w:r>
      <w:proofErr w:type="spellEnd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энергоустановка морского базирования [Электронный ресурс] // Газета «Энергетика и промышленность России» [Офиц. сайт]. URL:http://www.eprussia.ru/epr/32/2136.htm (дата обращения: 17.11.2017).</w:t>
      </w:r>
    </w:p>
    <w:p w:rsidR="009A2C9E" w:rsidRPr="009A2C9E" w:rsidRDefault="009A2C9E" w:rsidP="009A2C9E">
      <w:pPr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proofErr w:type="spellStart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Цесельский</w:t>
      </w:r>
      <w:proofErr w:type="spellEnd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И. В России разрабатывают отечественные автономные комбинированные энергоустановки [Электронный ресурс] // </w:t>
      </w:r>
      <w:proofErr w:type="spellStart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Профессионалы.ру</w:t>
      </w:r>
      <w:proofErr w:type="spellEnd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 URL:https://professionali.ru/</w:t>
      </w:r>
      <w:proofErr w:type="gramStart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  <w:t>(</w:t>
      </w:r>
      <w:proofErr w:type="gramEnd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дата обращения: 15.11.2017).</w:t>
      </w:r>
    </w:p>
    <w:p w:rsidR="009A2C9E" w:rsidRPr="009A2C9E" w:rsidRDefault="009A2C9E" w:rsidP="009A2C9E">
      <w:pPr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proofErr w:type="spellStart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Ветро</w:t>
      </w:r>
      <w:proofErr w:type="spellEnd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-солнечные фонари в Санкт-Петербурге: видеорепортаж [Электронный ресурс] // Портал «Сделано у нас». URL:https://sdelanounas.ru/blogs/20559 (дата обращения: 17.11.2017).</w:t>
      </w:r>
    </w:p>
    <w:p w:rsidR="009A2C9E" w:rsidRPr="009A2C9E" w:rsidRDefault="009A2C9E" w:rsidP="009A2C9E">
      <w:pPr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proofErr w:type="spellStart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Попель</w:t>
      </w:r>
      <w:proofErr w:type="spellEnd"/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О.С. Автономные энергоустановки на возобновляемых источниках энергии // Энергосбережение.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1</w:t>
      </w:r>
      <w:r w:rsidRPr="009A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6. № 3. С. 60-65.</w:t>
      </w:r>
    </w:p>
    <w:p w:rsid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9A2C9E" w:rsidRDefault="009A2C9E" w:rsidP="009A2C9E">
      <w:pPr>
        <w:tabs>
          <w:tab w:val="num" w:pos="0"/>
        </w:tabs>
        <w:suppressAutoHyphens/>
        <w:autoSpaceDE w:val="0"/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234342" w:rsidRDefault="00234342">
      <w:pPr>
        <w:ind w:right="283"/>
      </w:pPr>
    </w:p>
    <w:sectPr w:rsidR="00234342" w:rsidSect="009A2C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05A"/>
    <w:multiLevelType w:val="hybridMultilevel"/>
    <w:tmpl w:val="71E02930"/>
    <w:lvl w:ilvl="0" w:tplc="9C8E9F48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60F744">
      <w:numFmt w:val="bullet"/>
      <w:lvlText w:val="•"/>
      <w:lvlJc w:val="left"/>
      <w:pPr>
        <w:ind w:left="1180" w:hanging="286"/>
      </w:pPr>
      <w:rPr>
        <w:rFonts w:hint="default"/>
        <w:lang w:val="ru-RU" w:eastAsia="en-US" w:bidi="ar-SA"/>
      </w:rPr>
    </w:lvl>
    <w:lvl w:ilvl="2" w:tplc="935A645A">
      <w:numFmt w:val="bullet"/>
      <w:lvlText w:val="•"/>
      <w:lvlJc w:val="left"/>
      <w:pPr>
        <w:ind w:left="2141" w:hanging="286"/>
      </w:pPr>
      <w:rPr>
        <w:rFonts w:hint="default"/>
        <w:lang w:val="ru-RU" w:eastAsia="en-US" w:bidi="ar-SA"/>
      </w:rPr>
    </w:lvl>
    <w:lvl w:ilvl="3" w:tplc="4F504A86">
      <w:numFmt w:val="bullet"/>
      <w:lvlText w:val="•"/>
      <w:lvlJc w:val="left"/>
      <w:pPr>
        <w:ind w:left="3101" w:hanging="286"/>
      </w:pPr>
      <w:rPr>
        <w:rFonts w:hint="default"/>
        <w:lang w:val="ru-RU" w:eastAsia="en-US" w:bidi="ar-SA"/>
      </w:rPr>
    </w:lvl>
    <w:lvl w:ilvl="4" w:tplc="69823EBA">
      <w:numFmt w:val="bullet"/>
      <w:lvlText w:val="•"/>
      <w:lvlJc w:val="left"/>
      <w:pPr>
        <w:ind w:left="4062" w:hanging="286"/>
      </w:pPr>
      <w:rPr>
        <w:rFonts w:hint="default"/>
        <w:lang w:val="ru-RU" w:eastAsia="en-US" w:bidi="ar-SA"/>
      </w:rPr>
    </w:lvl>
    <w:lvl w:ilvl="5" w:tplc="E6ACF9D6">
      <w:numFmt w:val="bullet"/>
      <w:lvlText w:val="•"/>
      <w:lvlJc w:val="left"/>
      <w:pPr>
        <w:ind w:left="5023" w:hanging="286"/>
      </w:pPr>
      <w:rPr>
        <w:rFonts w:hint="default"/>
        <w:lang w:val="ru-RU" w:eastAsia="en-US" w:bidi="ar-SA"/>
      </w:rPr>
    </w:lvl>
    <w:lvl w:ilvl="6" w:tplc="17624C72">
      <w:numFmt w:val="bullet"/>
      <w:lvlText w:val="•"/>
      <w:lvlJc w:val="left"/>
      <w:pPr>
        <w:ind w:left="5983" w:hanging="286"/>
      </w:pPr>
      <w:rPr>
        <w:rFonts w:hint="default"/>
        <w:lang w:val="ru-RU" w:eastAsia="en-US" w:bidi="ar-SA"/>
      </w:rPr>
    </w:lvl>
    <w:lvl w:ilvl="7" w:tplc="373E9A2E">
      <w:numFmt w:val="bullet"/>
      <w:lvlText w:val="•"/>
      <w:lvlJc w:val="left"/>
      <w:pPr>
        <w:ind w:left="6944" w:hanging="286"/>
      </w:pPr>
      <w:rPr>
        <w:rFonts w:hint="default"/>
        <w:lang w:val="ru-RU" w:eastAsia="en-US" w:bidi="ar-SA"/>
      </w:rPr>
    </w:lvl>
    <w:lvl w:ilvl="8" w:tplc="81483392">
      <w:numFmt w:val="bullet"/>
      <w:lvlText w:val="•"/>
      <w:lvlJc w:val="left"/>
      <w:pPr>
        <w:ind w:left="7905" w:hanging="286"/>
      </w:pPr>
      <w:rPr>
        <w:rFonts w:hint="default"/>
        <w:lang w:val="ru-RU" w:eastAsia="en-US" w:bidi="ar-SA"/>
      </w:rPr>
    </w:lvl>
  </w:abstractNum>
  <w:abstractNum w:abstractNumId="1">
    <w:nsid w:val="167A7282"/>
    <w:multiLevelType w:val="hybridMultilevel"/>
    <w:tmpl w:val="56789EC6"/>
    <w:lvl w:ilvl="0" w:tplc="8424D534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E86D06">
      <w:start w:val="1"/>
      <w:numFmt w:val="decimal"/>
      <w:lvlText w:val="%2)"/>
      <w:lvlJc w:val="left"/>
      <w:pPr>
        <w:ind w:left="121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0104B18">
      <w:numFmt w:val="bullet"/>
      <w:lvlText w:val="•"/>
      <w:lvlJc w:val="left"/>
      <w:pPr>
        <w:ind w:left="2176" w:hanging="286"/>
      </w:pPr>
      <w:rPr>
        <w:rFonts w:hint="default"/>
        <w:lang w:val="ru-RU" w:eastAsia="en-US" w:bidi="ar-SA"/>
      </w:rPr>
    </w:lvl>
    <w:lvl w:ilvl="3" w:tplc="5358CD3E">
      <w:numFmt w:val="bullet"/>
      <w:lvlText w:val="•"/>
      <w:lvlJc w:val="left"/>
      <w:pPr>
        <w:ind w:left="3132" w:hanging="286"/>
      </w:pPr>
      <w:rPr>
        <w:rFonts w:hint="default"/>
        <w:lang w:val="ru-RU" w:eastAsia="en-US" w:bidi="ar-SA"/>
      </w:rPr>
    </w:lvl>
    <w:lvl w:ilvl="4" w:tplc="82B4BC3C">
      <w:numFmt w:val="bullet"/>
      <w:lvlText w:val="•"/>
      <w:lvlJc w:val="left"/>
      <w:pPr>
        <w:ind w:left="4088" w:hanging="286"/>
      </w:pPr>
      <w:rPr>
        <w:rFonts w:hint="default"/>
        <w:lang w:val="ru-RU" w:eastAsia="en-US" w:bidi="ar-SA"/>
      </w:rPr>
    </w:lvl>
    <w:lvl w:ilvl="5" w:tplc="EE2E1658">
      <w:numFmt w:val="bullet"/>
      <w:lvlText w:val="•"/>
      <w:lvlJc w:val="left"/>
      <w:pPr>
        <w:ind w:left="5045" w:hanging="286"/>
      </w:pPr>
      <w:rPr>
        <w:rFonts w:hint="default"/>
        <w:lang w:val="ru-RU" w:eastAsia="en-US" w:bidi="ar-SA"/>
      </w:rPr>
    </w:lvl>
    <w:lvl w:ilvl="6" w:tplc="741CD278">
      <w:numFmt w:val="bullet"/>
      <w:lvlText w:val="•"/>
      <w:lvlJc w:val="left"/>
      <w:pPr>
        <w:ind w:left="6001" w:hanging="286"/>
      </w:pPr>
      <w:rPr>
        <w:rFonts w:hint="default"/>
        <w:lang w:val="ru-RU" w:eastAsia="en-US" w:bidi="ar-SA"/>
      </w:rPr>
    </w:lvl>
    <w:lvl w:ilvl="7" w:tplc="CD6C1E1E">
      <w:numFmt w:val="bullet"/>
      <w:lvlText w:val="•"/>
      <w:lvlJc w:val="left"/>
      <w:pPr>
        <w:ind w:left="6957" w:hanging="286"/>
      </w:pPr>
      <w:rPr>
        <w:rFonts w:hint="default"/>
        <w:lang w:val="ru-RU" w:eastAsia="en-US" w:bidi="ar-SA"/>
      </w:rPr>
    </w:lvl>
    <w:lvl w:ilvl="8" w:tplc="D7AEB878">
      <w:numFmt w:val="bullet"/>
      <w:lvlText w:val="•"/>
      <w:lvlJc w:val="left"/>
      <w:pPr>
        <w:ind w:left="7913" w:hanging="286"/>
      </w:pPr>
      <w:rPr>
        <w:rFonts w:hint="default"/>
        <w:lang w:val="ru-RU" w:eastAsia="en-US" w:bidi="ar-SA"/>
      </w:rPr>
    </w:lvl>
  </w:abstractNum>
  <w:abstractNum w:abstractNumId="2">
    <w:nsid w:val="341A017B"/>
    <w:multiLevelType w:val="hybridMultilevel"/>
    <w:tmpl w:val="0BE6C572"/>
    <w:lvl w:ilvl="0" w:tplc="3C88967E">
      <w:numFmt w:val="bullet"/>
      <w:lvlText w:val=""/>
      <w:lvlJc w:val="left"/>
      <w:pPr>
        <w:ind w:left="942" w:hanging="348"/>
      </w:pPr>
      <w:rPr>
        <w:rFonts w:hint="default"/>
        <w:w w:val="100"/>
        <w:lang w:val="ru-RU" w:eastAsia="en-US" w:bidi="ar-SA"/>
      </w:rPr>
    </w:lvl>
    <w:lvl w:ilvl="1" w:tplc="084830A8">
      <w:numFmt w:val="bullet"/>
      <w:lvlText w:val=""/>
      <w:lvlJc w:val="left"/>
      <w:pPr>
        <w:ind w:left="22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6EE1B1A">
      <w:numFmt w:val="bullet"/>
      <w:lvlText w:val="•"/>
      <w:lvlJc w:val="left"/>
      <w:pPr>
        <w:ind w:left="1927" w:hanging="212"/>
      </w:pPr>
      <w:rPr>
        <w:rFonts w:hint="default"/>
        <w:lang w:val="ru-RU" w:eastAsia="en-US" w:bidi="ar-SA"/>
      </w:rPr>
    </w:lvl>
    <w:lvl w:ilvl="3" w:tplc="F90281E6">
      <w:numFmt w:val="bullet"/>
      <w:lvlText w:val="•"/>
      <w:lvlJc w:val="left"/>
      <w:pPr>
        <w:ind w:left="2914" w:hanging="212"/>
      </w:pPr>
      <w:rPr>
        <w:rFonts w:hint="default"/>
        <w:lang w:val="ru-RU" w:eastAsia="en-US" w:bidi="ar-SA"/>
      </w:rPr>
    </w:lvl>
    <w:lvl w:ilvl="4" w:tplc="B5F62AAC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5" w:tplc="89E24580">
      <w:numFmt w:val="bullet"/>
      <w:lvlText w:val="•"/>
      <w:lvlJc w:val="left"/>
      <w:pPr>
        <w:ind w:left="4889" w:hanging="212"/>
      </w:pPr>
      <w:rPr>
        <w:rFonts w:hint="default"/>
        <w:lang w:val="ru-RU" w:eastAsia="en-US" w:bidi="ar-SA"/>
      </w:rPr>
    </w:lvl>
    <w:lvl w:ilvl="6" w:tplc="8B5E2B3A">
      <w:numFmt w:val="bullet"/>
      <w:lvlText w:val="•"/>
      <w:lvlJc w:val="left"/>
      <w:pPr>
        <w:ind w:left="5876" w:hanging="212"/>
      </w:pPr>
      <w:rPr>
        <w:rFonts w:hint="default"/>
        <w:lang w:val="ru-RU" w:eastAsia="en-US" w:bidi="ar-SA"/>
      </w:rPr>
    </w:lvl>
    <w:lvl w:ilvl="7" w:tplc="C5E8D462">
      <w:numFmt w:val="bullet"/>
      <w:lvlText w:val="•"/>
      <w:lvlJc w:val="left"/>
      <w:pPr>
        <w:ind w:left="6864" w:hanging="212"/>
      </w:pPr>
      <w:rPr>
        <w:rFonts w:hint="default"/>
        <w:lang w:val="ru-RU" w:eastAsia="en-US" w:bidi="ar-SA"/>
      </w:rPr>
    </w:lvl>
    <w:lvl w:ilvl="8" w:tplc="3A52B642">
      <w:numFmt w:val="bullet"/>
      <w:lvlText w:val="•"/>
      <w:lvlJc w:val="left"/>
      <w:pPr>
        <w:ind w:left="7851" w:hanging="212"/>
      </w:pPr>
      <w:rPr>
        <w:rFonts w:hint="default"/>
        <w:lang w:val="ru-RU" w:eastAsia="en-US" w:bidi="ar-SA"/>
      </w:rPr>
    </w:lvl>
  </w:abstractNum>
  <w:abstractNum w:abstractNumId="3">
    <w:nsid w:val="4E637C1D"/>
    <w:multiLevelType w:val="hybridMultilevel"/>
    <w:tmpl w:val="9522D208"/>
    <w:lvl w:ilvl="0" w:tplc="02DAAB3C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F805770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2" w:tplc="CBFABE54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3" w:tplc="43044610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6A86364C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5" w:tplc="644AE944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68701326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E3886FFA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 w:tplc="6CAA5734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01"/>
    <w:rsid w:val="00125774"/>
    <w:rsid w:val="00234342"/>
    <w:rsid w:val="00606401"/>
    <w:rsid w:val="009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28455-6D94-4348-8D9C-ABA0DF0F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2020-06-29T10:49:00Z</dcterms:created>
  <dcterms:modified xsi:type="dcterms:W3CDTF">2020-06-29T10:57:00Z</dcterms:modified>
</cp:coreProperties>
</file>