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C6" w:rsidRPr="003B7D7D" w:rsidRDefault="004948C6" w:rsidP="004948C6">
      <w:pPr>
        <w:rPr>
          <w:rFonts w:ascii="Times New Roman" w:hAnsi="Times New Roman" w:cs="Times New Roman"/>
          <w:sz w:val="28"/>
          <w:szCs w:val="28"/>
        </w:rPr>
      </w:pPr>
    </w:p>
    <w:p w:rsidR="004948C6" w:rsidRPr="003B7D7D" w:rsidRDefault="00056FA6" w:rsidP="00CF63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7D">
        <w:rPr>
          <w:rFonts w:ascii="Times New Roman" w:hAnsi="Times New Roman" w:cs="Times New Roman"/>
          <w:b/>
          <w:bCs/>
          <w:sz w:val="28"/>
          <w:szCs w:val="28"/>
        </w:rPr>
        <w:t>Современные тенденции в сфере образования. Взгляд эксперта.</w:t>
      </w:r>
    </w:p>
    <w:p w:rsidR="00056FA6" w:rsidRPr="003B7D7D" w:rsidRDefault="00C04882" w:rsidP="00C0488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B7D7D">
        <w:rPr>
          <w:rFonts w:ascii="Times New Roman" w:hAnsi="Times New Roman" w:cs="Times New Roman"/>
          <w:i/>
          <w:iCs/>
          <w:sz w:val="28"/>
          <w:szCs w:val="28"/>
        </w:rPr>
        <w:t>Рубрика «Интервью с экспертом»</w:t>
      </w:r>
    </w:p>
    <w:p w:rsidR="004948C6" w:rsidRPr="003B7D7D" w:rsidRDefault="004948C6" w:rsidP="004948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948C6" w:rsidRPr="003B7D7D" w:rsidTr="00AC0CEE">
        <w:tc>
          <w:tcPr>
            <w:tcW w:w="2830" w:type="dxa"/>
          </w:tcPr>
          <w:p w:rsidR="004948C6" w:rsidRPr="003B7D7D" w:rsidRDefault="004948C6" w:rsidP="004948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7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147C48" wp14:editId="4BF0A7AE">
                  <wp:extent cx="1422400" cy="2000250"/>
                  <wp:effectExtent l="0" t="0" r="6350" b="0"/>
                  <wp:docPr id="2" name="Рисунок 2" descr="E:\ALEX\Кафедра\Премирование\Скиф\Фото\Zhigu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LEX\Кафедра\Премирование\Скиф\Фото\Zhigu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95" cy="200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4948C6" w:rsidRPr="003B7D7D" w:rsidRDefault="004948C6" w:rsidP="004948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7D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Корреспондент рубрики </w:t>
            </w:r>
          </w:p>
          <w:p w:rsidR="004948C6" w:rsidRPr="003B7D7D" w:rsidRDefault="004948C6" w:rsidP="004948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Жигулин Вячеслав Сергеевич</w:t>
            </w:r>
          </w:p>
          <w:p w:rsidR="004948C6" w:rsidRPr="003B7D7D" w:rsidRDefault="004948C6" w:rsidP="004948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социологических наук</w:t>
            </w:r>
          </w:p>
          <w:p w:rsidR="004948C6" w:rsidRPr="003B7D7D" w:rsidRDefault="004948C6" w:rsidP="004948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мониторинга СМИ </w:t>
            </w:r>
          </w:p>
          <w:p w:rsidR="004948C6" w:rsidRPr="003B7D7D" w:rsidRDefault="004948C6" w:rsidP="004948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«Центр исследований Гортис»</w:t>
            </w:r>
            <w:r w:rsidR="00732F12" w:rsidRPr="003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Санкт-Петербург</w:t>
            </w:r>
          </w:p>
        </w:tc>
      </w:tr>
    </w:tbl>
    <w:p w:rsidR="004948C6" w:rsidRPr="003B7D7D" w:rsidRDefault="004948C6" w:rsidP="004948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C6" w:rsidRPr="003B7D7D" w:rsidRDefault="004948C6" w:rsidP="004948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4948C6" w:rsidRPr="003B7D7D" w:rsidTr="00AC0CEE">
        <w:tc>
          <w:tcPr>
            <w:tcW w:w="2830" w:type="dxa"/>
          </w:tcPr>
          <w:p w:rsidR="004948C6" w:rsidRPr="003B7D7D" w:rsidRDefault="004948C6" w:rsidP="004948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7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5D89A9" wp14:editId="2177153A">
                  <wp:extent cx="1643022" cy="2419350"/>
                  <wp:effectExtent l="0" t="0" r="0" b="0"/>
                  <wp:docPr id="109" name="Рисунок 109" descr="E:\ALEX\Кафедра\Премирование\Скиф\Фото\B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LEX\Кафедра\Премирование\Скиф\Фото\B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35" cy="244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4948C6" w:rsidRPr="003B7D7D" w:rsidRDefault="004948C6" w:rsidP="004948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7D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Приглашенный внешний эксперт</w:t>
            </w:r>
          </w:p>
          <w:p w:rsidR="004948C6" w:rsidRPr="003B7D7D" w:rsidRDefault="004948C6" w:rsidP="004948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Байер Юлия Паулевна</w:t>
            </w:r>
          </w:p>
          <w:p w:rsidR="004948C6" w:rsidRPr="003B7D7D" w:rsidRDefault="004948C6" w:rsidP="004948C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социологических  наук, доцент кафедры </w:t>
            </w:r>
            <w:r w:rsidR="00056FA6" w:rsidRPr="003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технологий</w:t>
            </w:r>
            <w:r w:rsidRPr="003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СЗИУ РАНХиГС</w:t>
            </w:r>
            <w:r w:rsidR="00732F12" w:rsidRPr="003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(Санкт-Петербург)</w:t>
            </w:r>
            <w:r w:rsidRPr="003B7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консультант-практик в сфере HR и стратегирования, куратор Школы юных стратегов Владимира Квинта, независимый HR-эксперт,  член Испанской ассоциации политических наук и общественного управления.</w:t>
            </w:r>
          </w:p>
        </w:tc>
      </w:tr>
    </w:tbl>
    <w:p w:rsidR="004948C6" w:rsidRPr="003B7D7D" w:rsidRDefault="004948C6" w:rsidP="004948C6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15B" w:rsidRPr="003B7D7D" w:rsidRDefault="003B7D7D" w:rsidP="004948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633829"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аше </w:t>
      </w:r>
      <w:r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уже третье </w:t>
      </w:r>
      <w:r w:rsidR="00633829"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интервью из  рубрик</w:t>
      </w:r>
      <w:r w:rsidR="00CF637D"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633829"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3829" w:rsidRPr="003B7D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«Интервью с экспертом»</w:t>
      </w:r>
      <w:r w:rsidR="0036315B" w:rsidRPr="003B7D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4948C6" w:rsidRPr="003B7D7D" w:rsidRDefault="0036315B" w:rsidP="004948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CF637D"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приглашенным внешним экспертом Юлией Байер  беседует </w:t>
      </w:r>
      <w:r w:rsidR="004948C6"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кандидат социологических наук, начальник отдела мониторинга СМИ  ООО «Центр исследований Гортис»</w:t>
      </w:r>
      <w:r w:rsidR="00CF637D"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Санкт-Петербурга </w:t>
      </w:r>
      <w:r w:rsidR="004948C6"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Жигулин Вячеслав Сергеевич</w:t>
      </w:r>
      <w:r w:rsidRPr="003B7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637D" w:rsidRPr="003B7D7D" w:rsidRDefault="00CF637D" w:rsidP="004948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261D" w:rsidRPr="003B7D7D" w:rsidRDefault="00C2261D" w:rsidP="00C2261D">
      <w:pPr>
        <w:widowControl w:val="0"/>
        <w:tabs>
          <w:tab w:val="left" w:pos="8080"/>
        </w:tabs>
        <w:spacing w:after="0" w:line="360" w:lineRule="auto"/>
        <w:ind w:left="57" w:right="481"/>
        <w:jc w:val="both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В.Ж. – </w:t>
      </w:r>
      <w:r w:rsidR="0046377A" w:rsidRPr="003B7D7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Юлия, </w:t>
      </w:r>
      <w:r w:rsidR="003B7D7D" w:rsidRPr="003B7D7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расскажите, пожалуйста, какие тенденции в образовании Вы можете отметить на международном уровне</w:t>
      </w:r>
      <w:r w:rsidR="0046377A" w:rsidRPr="003B7D7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? </w:t>
      </w:r>
    </w:p>
    <w:p w:rsidR="00C2261D" w:rsidRPr="003B7D7D" w:rsidRDefault="00C2261D" w:rsidP="00C2261D">
      <w:pPr>
        <w:widowControl w:val="0"/>
        <w:tabs>
          <w:tab w:val="left" w:pos="8080"/>
        </w:tabs>
        <w:spacing w:after="0" w:line="360" w:lineRule="auto"/>
        <w:ind w:left="57" w:right="48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7D7D" w:rsidRDefault="00C2261D" w:rsidP="003B7D7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Ю.Б.</w:t>
      </w:r>
      <w:r w:rsidRPr="003B7D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 </w:t>
      </w:r>
      <w:r w:rsidR="003B7D7D" w:rsidRPr="003B7D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Прежде всего, это </w:t>
      </w:r>
      <w:r w:rsidR="003B7D7D" w:rsidRPr="003B7D7D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="003B7D7D" w:rsidRPr="003B7D7D">
        <w:rPr>
          <w:rFonts w:ascii="Times New Roman" w:hAnsi="Times New Roman" w:cs="Times New Roman"/>
          <w:b/>
          <w:iCs/>
          <w:sz w:val="28"/>
          <w:szCs w:val="28"/>
        </w:rPr>
        <w:t>еждународная студенческая мобильность.</w:t>
      </w:r>
      <w:r w:rsidR="003B7D7D" w:rsidRPr="003B7D7D">
        <w:rPr>
          <w:rFonts w:ascii="Times New Roman" w:hAnsi="Times New Roman" w:cs="Times New Roman"/>
          <w:sz w:val="28"/>
          <w:szCs w:val="28"/>
        </w:rPr>
        <w:t xml:space="preserve">  </w:t>
      </w:r>
      <w:r w:rsidR="003B7D7D">
        <w:rPr>
          <w:rFonts w:ascii="Times New Roman" w:hAnsi="Times New Roman" w:cs="Times New Roman"/>
          <w:sz w:val="28"/>
          <w:szCs w:val="28"/>
        </w:rPr>
        <w:t>Сегодня это од</w:t>
      </w:r>
      <w:r w:rsidR="003B7D7D" w:rsidRPr="003B7D7D">
        <w:rPr>
          <w:rFonts w:ascii="Times New Roman" w:hAnsi="Times New Roman" w:cs="Times New Roman"/>
          <w:sz w:val="28"/>
          <w:szCs w:val="28"/>
        </w:rPr>
        <w:t>ин из основных трендов в глобальном образовании</w:t>
      </w:r>
      <w:r w:rsidR="003B7D7D">
        <w:rPr>
          <w:rFonts w:ascii="Times New Roman" w:hAnsi="Times New Roman" w:cs="Times New Roman"/>
          <w:sz w:val="28"/>
          <w:szCs w:val="28"/>
        </w:rPr>
        <w:t>, и, я надеюсь, скоро это станет общепринятой практикой и в России</w:t>
      </w:r>
      <w:r w:rsidR="003B7D7D" w:rsidRPr="003B7D7D">
        <w:rPr>
          <w:rFonts w:ascii="Times New Roman" w:hAnsi="Times New Roman" w:cs="Times New Roman"/>
          <w:sz w:val="28"/>
          <w:szCs w:val="28"/>
        </w:rPr>
        <w:t xml:space="preserve"> -  </w:t>
      </w:r>
      <w:r w:rsidR="003B7D7D" w:rsidRPr="003B7D7D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международная мобильность, </w:t>
      </w:r>
      <w:r w:rsidR="003B7D7D" w:rsidRPr="003B7D7D">
        <w:rPr>
          <w:rFonts w:ascii="Times New Roman" w:hAnsi="Times New Roman" w:cs="Times New Roman"/>
          <w:sz w:val="28"/>
          <w:szCs w:val="28"/>
        </w:rPr>
        <w:t xml:space="preserve">которая подразумевает разнообразие образовательных инициатив и видов действий: от внутриконтинентальной мобильности до мобильности между регионами мира, от мобильности на основе соглашений и/или межвузовских обменов с индивидуальной мобильностью, а также горизонтальную мобильность (между аналогичными программами того же цикла обучения), вертикальную  мобильность (продолжение образования с новой программой обучения в ВУЗе, расположенном в другой стране, отличной  от той, в которой студент первоначально закончил предыдущие курсы). </w:t>
      </w:r>
    </w:p>
    <w:p w:rsidR="003B7D7D" w:rsidRDefault="003B7D7D" w:rsidP="003B7D7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Мобильность может быть также </w:t>
      </w:r>
      <w:r>
        <w:rPr>
          <w:rFonts w:ascii="Times New Roman" w:hAnsi="Times New Roman" w:cs="Times New Roman"/>
          <w:sz w:val="28"/>
          <w:szCs w:val="28"/>
        </w:rPr>
        <w:t xml:space="preserve">разделена на </w:t>
      </w:r>
    </w:p>
    <w:p w:rsidR="003B7D7D" w:rsidRDefault="003B7D7D" w:rsidP="003B7D7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B7D7D">
        <w:rPr>
          <w:rFonts w:ascii="Times New Roman" w:hAnsi="Times New Roman" w:cs="Times New Roman"/>
          <w:b/>
          <w:sz w:val="28"/>
          <w:szCs w:val="28"/>
        </w:rPr>
        <w:t>краткосрочн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3B7D7D">
        <w:rPr>
          <w:rFonts w:ascii="Times New Roman" w:hAnsi="Times New Roman" w:cs="Times New Roman"/>
          <w:b/>
          <w:sz w:val="28"/>
          <w:szCs w:val="28"/>
        </w:rPr>
        <w:t xml:space="preserve"> мобильность</w:t>
      </w:r>
      <w:r w:rsidRPr="003B7D7D">
        <w:rPr>
          <w:rFonts w:ascii="Times New Roman" w:hAnsi="Times New Roman" w:cs="Times New Roman"/>
          <w:sz w:val="28"/>
          <w:szCs w:val="28"/>
        </w:rPr>
        <w:t xml:space="preserve">, (обучение на семестр, мобильность для краткосрочных стажировок и этапов исследования, также мобильность для участия в летних школах или отдельных исследовательских модулях, проводимых с целью развития новых навыков или профессиональных компетенций и т. д.) </w:t>
      </w:r>
    </w:p>
    <w:p w:rsidR="003B7D7D" w:rsidRPr="003B7D7D" w:rsidRDefault="003B7D7D" w:rsidP="003B7D7D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B7D7D">
        <w:rPr>
          <w:rFonts w:ascii="Times New Roman" w:hAnsi="Times New Roman" w:cs="Times New Roman"/>
          <w:b/>
          <w:sz w:val="28"/>
          <w:szCs w:val="28"/>
        </w:rPr>
        <w:t>долгосрочн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3B7D7D">
        <w:rPr>
          <w:rFonts w:ascii="Times New Roman" w:hAnsi="Times New Roman" w:cs="Times New Roman"/>
          <w:b/>
          <w:sz w:val="28"/>
          <w:szCs w:val="28"/>
        </w:rPr>
        <w:t xml:space="preserve"> мобильность</w:t>
      </w:r>
      <w:r w:rsidRPr="003B7D7D">
        <w:rPr>
          <w:rFonts w:ascii="Times New Roman" w:hAnsi="Times New Roman" w:cs="Times New Roman"/>
          <w:sz w:val="28"/>
          <w:szCs w:val="28"/>
        </w:rPr>
        <w:t xml:space="preserve"> (международные образовательные проекты, реализуемые в течение 1-3 лет, финансируемые соответствующими социальными институтами, например, </w:t>
      </w:r>
      <w:r w:rsidRPr="003B7D7D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3B7D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7D7D" w:rsidRPr="003B7D7D" w:rsidRDefault="003B7D7D" w:rsidP="003B7D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D7D">
        <w:rPr>
          <w:rFonts w:ascii="Times New Roman" w:hAnsi="Times New Roman" w:cs="Times New Roman"/>
          <w:b/>
          <w:bCs/>
          <w:sz w:val="28"/>
          <w:szCs w:val="28"/>
        </w:rPr>
        <w:t xml:space="preserve">В.Ж. – Какие общепризнанные социальные институты осуществляют международную мобильность? </w:t>
      </w:r>
    </w:p>
    <w:p w:rsidR="003B7D7D" w:rsidRDefault="003B7D7D" w:rsidP="003B7D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b/>
          <w:bCs/>
          <w:sz w:val="28"/>
          <w:szCs w:val="28"/>
        </w:rPr>
        <w:t>Ю.Б.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7D7D">
        <w:rPr>
          <w:rFonts w:ascii="Times New Roman" w:hAnsi="Times New Roman" w:cs="Times New Roman"/>
          <w:sz w:val="28"/>
          <w:szCs w:val="28"/>
        </w:rPr>
        <w:t xml:space="preserve">На международной образовательной арене хорошо себя зарекомендовали такие европейские программы таких как TEMPUS, ERASMUS. </w:t>
      </w:r>
      <w:r>
        <w:rPr>
          <w:rFonts w:ascii="Times New Roman" w:hAnsi="Times New Roman" w:cs="Times New Roman"/>
          <w:sz w:val="28"/>
          <w:szCs w:val="28"/>
        </w:rPr>
        <w:t xml:space="preserve">Я сама, как преподаватель вуза, ездила читать лекции в Университет Барселоны, и могу сказать, что это очень хорошо и слаженно работает. </w:t>
      </w:r>
    </w:p>
    <w:p w:rsidR="003B7D7D" w:rsidRPr="003B7D7D" w:rsidRDefault="003B7D7D" w:rsidP="003B7D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7D7D">
        <w:rPr>
          <w:rFonts w:ascii="Times New Roman" w:hAnsi="Times New Roman" w:cs="Times New Roman"/>
          <w:sz w:val="28"/>
          <w:szCs w:val="28"/>
        </w:rPr>
        <w:t>рограммы направлены на поддержание мобильности не только студентов, но и преподавателей</w:t>
      </w:r>
      <w:r w:rsidR="00443536">
        <w:rPr>
          <w:rFonts w:ascii="Times New Roman" w:hAnsi="Times New Roman" w:cs="Times New Roman"/>
          <w:sz w:val="28"/>
          <w:szCs w:val="28"/>
        </w:rPr>
        <w:t>. Но есть один нюанс - они</w:t>
      </w:r>
      <w:r w:rsidRPr="003B7D7D">
        <w:rPr>
          <w:rFonts w:ascii="Times New Roman" w:hAnsi="Times New Roman" w:cs="Times New Roman"/>
          <w:sz w:val="28"/>
          <w:szCs w:val="28"/>
        </w:rPr>
        <w:t xml:space="preserve"> служат для </w:t>
      </w:r>
      <w:r w:rsidRPr="003B7D7D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европейских ценностей за пределами ЕС, что, естественно, влияет на принятие решения о финансировании той или иной заявки, направляемой в Брюссель. </w:t>
      </w:r>
    </w:p>
    <w:p w:rsidR="00443536" w:rsidRPr="00443536" w:rsidRDefault="00443536" w:rsidP="003B7D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536">
        <w:rPr>
          <w:rFonts w:ascii="Times New Roman" w:hAnsi="Times New Roman" w:cs="Times New Roman"/>
          <w:b/>
          <w:bCs/>
          <w:sz w:val="28"/>
          <w:szCs w:val="28"/>
        </w:rPr>
        <w:t xml:space="preserve">В.Ж. – Есть ли какие-либо сдерживающие факторы у этого глобального процесса? </w:t>
      </w:r>
    </w:p>
    <w:p w:rsidR="003B7D7D" w:rsidRPr="003B7D7D" w:rsidRDefault="00443536" w:rsidP="003B7D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536">
        <w:rPr>
          <w:rFonts w:ascii="Times New Roman" w:hAnsi="Times New Roman" w:cs="Times New Roman"/>
          <w:b/>
          <w:bCs/>
          <w:sz w:val="28"/>
          <w:szCs w:val="28"/>
        </w:rPr>
        <w:t>Ю.Б.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D7D" w:rsidRPr="003B7D7D">
        <w:rPr>
          <w:rFonts w:ascii="Times New Roman" w:hAnsi="Times New Roman" w:cs="Times New Roman"/>
          <w:sz w:val="28"/>
          <w:szCs w:val="28"/>
        </w:rPr>
        <w:t>Многочисленные европейские источники отмечают, что одним из основных факторов, влияющих на снижение международной мобильности студентов, учителей и исследователей в течение последних  45 лет является неудовлетворительный уровень знания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D7D" w:rsidRPr="003B7D7D">
        <w:rPr>
          <w:rFonts w:ascii="Times New Roman" w:hAnsi="Times New Roman" w:cs="Times New Roman"/>
          <w:sz w:val="28"/>
          <w:szCs w:val="28"/>
        </w:rPr>
        <w:t xml:space="preserve">широко распространенных европейских языков.  Также в принимающей стране преподавание на английском для, например, преподавателей, получивших грант от </w:t>
      </w:r>
      <w:r w:rsidR="003B7D7D" w:rsidRPr="003B7D7D">
        <w:rPr>
          <w:rFonts w:ascii="Times New Roman" w:hAnsi="Times New Roman" w:cs="Times New Roman"/>
          <w:sz w:val="28"/>
          <w:szCs w:val="28"/>
          <w:lang w:val="en-US"/>
        </w:rPr>
        <w:t>ERASMUS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7D7D" w:rsidRPr="003B7D7D">
        <w:rPr>
          <w:rFonts w:ascii="Times New Roman" w:hAnsi="Times New Roman" w:cs="Times New Roman"/>
          <w:sz w:val="28"/>
          <w:szCs w:val="28"/>
        </w:rPr>
        <w:t xml:space="preserve">  может стать проблемой: не все студенты владеют английским на достаточно хорошем для восприятия уровне. </w:t>
      </w:r>
      <w:r>
        <w:rPr>
          <w:rFonts w:ascii="Times New Roman" w:hAnsi="Times New Roman" w:cs="Times New Roman"/>
          <w:sz w:val="28"/>
          <w:szCs w:val="28"/>
        </w:rPr>
        <w:t xml:space="preserve">Например, я в Барселоне столкнулась с тем, что группа магистрантов, в которой я преподавала, на 90% состояла из латиноамериканцев, плохо владеющих английским языком, поэтому я упрощала лекционный материал. </w:t>
      </w:r>
    </w:p>
    <w:p w:rsidR="00443536" w:rsidRPr="00443536" w:rsidRDefault="00443536" w:rsidP="003B7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536">
        <w:rPr>
          <w:rFonts w:ascii="Times New Roman" w:hAnsi="Times New Roman" w:cs="Times New Roman"/>
          <w:b/>
          <w:bCs/>
          <w:sz w:val="28"/>
          <w:szCs w:val="28"/>
        </w:rPr>
        <w:t xml:space="preserve">В.Ж. – Существует ли какая-то статистика мобильности студентов? </w:t>
      </w:r>
    </w:p>
    <w:p w:rsidR="003B7D7D" w:rsidRPr="003B7D7D" w:rsidRDefault="00443536" w:rsidP="003B7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Ю.Б. – Да, конечно. С</w:t>
      </w:r>
      <w:r w:rsidR="003B7D7D" w:rsidRPr="003B7D7D">
        <w:rPr>
          <w:rFonts w:ascii="Times New Roman" w:hAnsi="Times New Roman" w:cs="Times New Roman"/>
          <w:sz w:val="28"/>
          <w:szCs w:val="28"/>
        </w:rPr>
        <w:t>егодня 2,8-2,9 млн. студентов, вовлечены в образовательные программы по всему миру. Все исследователи этого процесса практически единогласно говорят о том, что эта тенденция будет ускоряться в ближайшие годы. Так, прогнозируемая мобильность студентов в 2020 году - 5,8 млн. студентов, а к 2025 году она оценивается в 8 миллионов иностранных студентов в год</w:t>
      </w:r>
      <w:r w:rsidR="003B7D7D" w:rsidRPr="003B7D7D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B7D7D" w:rsidRPr="003B7D7D">
        <w:rPr>
          <w:rFonts w:ascii="Times New Roman" w:hAnsi="Times New Roman" w:cs="Times New Roman"/>
          <w:sz w:val="28"/>
          <w:szCs w:val="28"/>
        </w:rPr>
        <w:t xml:space="preserve">. Это, безусловно, очень хорошая положительная динамика, которая скажется на качестве подготовки специалистов на рынке труда и новых возможностях трудоустройства. Тем не менее, можно отметить тот риск, что студенты из менее благополучных стран будут стремиться всеми правдами и неправдами остаться в стране пребывания с целью дальнейшего трудоустройства. Эта тенденция наблюдается, например, в прибалтийских </w:t>
      </w:r>
      <w:r w:rsidR="003B7D7D" w:rsidRPr="003B7D7D">
        <w:rPr>
          <w:rFonts w:ascii="Times New Roman" w:hAnsi="Times New Roman" w:cs="Times New Roman"/>
          <w:sz w:val="28"/>
          <w:szCs w:val="28"/>
        </w:rPr>
        <w:lastRenderedPageBreak/>
        <w:t xml:space="preserve">странах, молодежь которой стремиться уехать в страны Центральной Европы не только на учебу, но и на заработки, что приводит к старению рабочей силы в самой Прибалтике. </w:t>
      </w:r>
    </w:p>
    <w:p w:rsidR="00443536" w:rsidRPr="00443536" w:rsidRDefault="00443536" w:rsidP="003B7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36">
        <w:rPr>
          <w:rFonts w:ascii="Times New Roman" w:hAnsi="Times New Roman" w:cs="Times New Roman"/>
          <w:b/>
          <w:bCs/>
          <w:sz w:val="28"/>
          <w:szCs w:val="28"/>
        </w:rPr>
        <w:t xml:space="preserve">В.Ж.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43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Понятно, что изучаемый процесс очень динамичен, но к</w:t>
      </w:r>
      <w:r w:rsidRPr="00443536">
        <w:rPr>
          <w:rFonts w:ascii="Times New Roman" w:hAnsi="Times New Roman" w:cs="Times New Roman"/>
          <w:b/>
          <w:bCs/>
          <w:sz w:val="28"/>
          <w:szCs w:val="28"/>
        </w:rPr>
        <w:t>акие предварительные выводы Вы можете сделать?</w:t>
      </w:r>
      <w:r w:rsidRPr="0044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D7D" w:rsidRPr="003B7D7D" w:rsidRDefault="00443536" w:rsidP="003B7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36">
        <w:rPr>
          <w:rFonts w:ascii="Times New Roman" w:hAnsi="Times New Roman" w:cs="Times New Roman"/>
          <w:b/>
          <w:bCs/>
          <w:sz w:val="28"/>
          <w:szCs w:val="28"/>
        </w:rPr>
        <w:t>Ю.Б. 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B7D7D" w:rsidRPr="003B7D7D">
        <w:rPr>
          <w:rFonts w:ascii="Times New Roman" w:hAnsi="Times New Roman" w:cs="Times New Roman"/>
          <w:sz w:val="28"/>
          <w:szCs w:val="28"/>
        </w:rPr>
        <w:t>ожно сделать некоторые</w:t>
      </w:r>
      <w:r>
        <w:rPr>
          <w:rFonts w:ascii="Times New Roman" w:hAnsi="Times New Roman" w:cs="Times New Roman"/>
          <w:sz w:val="28"/>
          <w:szCs w:val="28"/>
        </w:rPr>
        <w:t xml:space="preserve"> осторожные</w:t>
      </w:r>
      <w:r w:rsidR="003B7D7D" w:rsidRPr="003B7D7D">
        <w:rPr>
          <w:rFonts w:ascii="Times New Roman" w:hAnsi="Times New Roman" w:cs="Times New Roman"/>
          <w:sz w:val="28"/>
          <w:szCs w:val="28"/>
        </w:rPr>
        <w:t xml:space="preserve"> выводы</w:t>
      </w:r>
      <w:r>
        <w:rPr>
          <w:rFonts w:ascii="Times New Roman" w:hAnsi="Times New Roman" w:cs="Times New Roman"/>
          <w:sz w:val="28"/>
          <w:szCs w:val="28"/>
        </w:rPr>
        <w:t xml:space="preserve"> на основе изученной международной статистики</w:t>
      </w:r>
      <w:r w:rsidR="003B7D7D" w:rsidRPr="003B7D7D">
        <w:rPr>
          <w:rFonts w:ascii="Times New Roman" w:hAnsi="Times New Roman" w:cs="Times New Roman"/>
          <w:sz w:val="28"/>
          <w:szCs w:val="28"/>
        </w:rPr>
        <w:t>:</w:t>
      </w:r>
    </w:p>
    <w:p w:rsidR="003B7D7D" w:rsidRPr="003B7D7D" w:rsidRDefault="003B7D7D" w:rsidP="003B7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- существует определенный тип дисбаланса в международной мобильности, дисбаланс этот проявляется, в частности, в том, что азиатские страны, преимущественно отправляют своих студентов на обучение в Европу, а европейские страны принимают у себя студентов со всего мира. Тем не менее, необходимо отметить, что дисбаланс этот со стороны ЕС создается, вероятно, вполне осознанно. Так, программа </w:t>
      </w:r>
      <w:r w:rsidRPr="003B7D7D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3B7D7D">
        <w:rPr>
          <w:rFonts w:ascii="Times New Roman" w:hAnsi="Times New Roman" w:cs="Times New Roman"/>
          <w:sz w:val="28"/>
          <w:szCs w:val="28"/>
        </w:rPr>
        <w:t xml:space="preserve"> заявляет своей основной целью «распространение европейских ценностей по всему миру».</w:t>
      </w:r>
    </w:p>
    <w:p w:rsidR="003B7D7D" w:rsidRPr="003B7D7D" w:rsidRDefault="003B7D7D" w:rsidP="003B7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- не только Европа, но и США является примером наихудшего дисбаланса между</w:t>
      </w:r>
      <w:r w:rsidR="00443536">
        <w:rPr>
          <w:rFonts w:ascii="Times New Roman" w:hAnsi="Times New Roman" w:cs="Times New Roman"/>
          <w:sz w:val="28"/>
          <w:szCs w:val="28"/>
        </w:rPr>
        <w:t>, так называемыми, «</w:t>
      </w:r>
      <w:r w:rsidRPr="003B7D7D">
        <w:rPr>
          <w:rFonts w:ascii="Times New Roman" w:hAnsi="Times New Roman" w:cs="Times New Roman"/>
          <w:sz w:val="28"/>
          <w:szCs w:val="28"/>
        </w:rPr>
        <w:t>входящими</w:t>
      </w:r>
      <w:r w:rsidR="00443536">
        <w:rPr>
          <w:rFonts w:ascii="Times New Roman" w:hAnsi="Times New Roman" w:cs="Times New Roman"/>
          <w:sz w:val="28"/>
          <w:szCs w:val="28"/>
        </w:rPr>
        <w:t>»</w:t>
      </w:r>
      <w:r w:rsidRPr="003B7D7D">
        <w:rPr>
          <w:rFonts w:ascii="Times New Roman" w:hAnsi="Times New Roman" w:cs="Times New Roman"/>
          <w:sz w:val="28"/>
          <w:szCs w:val="28"/>
        </w:rPr>
        <w:t xml:space="preserve"> и </w:t>
      </w:r>
      <w:r w:rsidR="00443536">
        <w:rPr>
          <w:rFonts w:ascii="Times New Roman" w:hAnsi="Times New Roman" w:cs="Times New Roman"/>
          <w:sz w:val="28"/>
          <w:szCs w:val="28"/>
        </w:rPr>
        <w:t>«</w:t>
      </w:r>
      <w:r w:rsidRPr="003B7D7D">
        <w:rPr>
          <w:rFonts w:ascii="Times New Roman" w:hAnsi="Times New Roman" w:cs="Times New Roman"/>
          <w:sz w:val="28"/>
          <w:szCs w:val="28"/>
        </w:rPr>
        <w:t>исходящими</w:t>
      </w:r>
      <w:r w:rsidR="00443536">
        <w:rPr>
          <w:rFonts w:ascii="Times New Roman" w:hAnsi="Times New Roman" w:cs="Times New Roman"/>
          <w:sz w:val="28"/>
          <w:szCs w:val="28"/>
        </w:rPr>
        <w:t>»</w:t>
      </w:r>
      <w:r w:rsidRPr="003B7D7D">
        <w:rPr>
          <w:rFonts w:ascii="Times New Roman" w:hAnsi="Times New Roman" w:cs="Times New Roman"/>
          <w:sz w:val="28"/>
          <w:szCs w:val="28"/>
        </w:rPr>
        <w:t xml:space="preserve"> студентами, что также можно отнести к реализации концепции «мягкой силы», распространение влияния в регионе информационными методами, в данном случае через образование молодежи.</w:t>
      </w:r>
    </w:p>
    <w:p w:rsidR="003B7D7D" w:rsidRPr="003B7D7D" w:rsidRDefault="003B7D7D" w:rsidP="003B7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- важно отметить существующий серьезный дисбаланс в языковом обучении, так, более 54% иностранных студентов учатся в странах, где официальный язык английский. Многие принимающие страны разработали специальные программы на английском языке. На сегодняшний день трудно говорить о поощрении мобильности, основанной на многоязычии и интернационализации высшего образования, учитывая, что более 60% иностранных студентов учатся на английском языке и еще 25-30% на французском или немецком языках.  </w:t>
      </w:r>
    </w:p>
    <w:p w:rsidR="00267968" w:rsidRPr="00267968" w:rsidRDefault="00267968" w:rsidP="003B7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968">
        <w:rPr>
          <w:rFonts w:ascii="Times New Roman" w:hAnsi="Times New Roman" w:cs="Times New Roman"/>
          <w:b/>
          <w:bCs/>
          <w:sz w:val="28"/>
          <w:szCs w:val="28"/>
        </w:rPr>
        <w:t xml:space="preserve">В.Ж. – Есть ли какие-то явно негативные стороны у этого процесса? </w:t>
      </w:r>
    </w:p>
    <w:p w:rsidR="00267968" w:rsidRPr="00267968" w:rsidRDefault="00267968" w:rsidP="003B7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D7D" w:rsidRPr="003B7D7D" w:rsidRDefault="00267968" w:rsidP="003B7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Ю.Б. - М</w:t>
      </w:r>
      <w:r w:rsidR="003B7D7D" w:rsidRPr="003B7D7D">
        <w:rPr>
          <w:rFonts w:ascii="Times New Roman" w:hAnsi="Times New Roman" w:cs="Times New Roman"/>
          <w:sz w:val="28"/>
          <w:szCs w:val="28"/>
        </w:rPr>
        <w:t>ногие исследователи отмечают, такие негативные тенденции, как утечка мозгов, которая имеет место быть, а также перетекание рабочей силы из менее благополучных стран в те страны, куда студенты приезжают учиться. «Свежеиспеченные» прибывшие студенты, после окончания учебы, остаются на рынке труда, составляя конкуренцию имеющейся рабочей силе и обостряя конкурентную борьбу. Это является одним из негативных последствий международной мобильности</w:t>
      </w:r>
      <w:r w:rsidR="003B7D7D" w:rsidRPr="003B7D7D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3B7D7D" w:rsidRPr="003B7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110" w:rsidRPr="003B7D7D" w:rsidRDefault="00581110" w:rsidP="00C2261D">
      <w:pPr>
        <w:widowControl w:val="0"/>
        <w:tabs>
          <w:tab w:val="left" w:pos="8080"/>
        </w:tabs>
        <w:spacing w:after="0" w:line="360" w:lineRule="auto"/>
        <w:ind w:left="57" w:right="481"/>
        <w:jc w:val="both"/>
        <w:rPr>
          <w:rStyle w:val="a7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4948C6" w:rsidRPr="003B7D7D" w:rsidRDefault="00C2261D" w:rsidP="004948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7D7D">
        <w:rPr>
          <w:rFonts w:ascii="Times New Roman" w:hAnsi="Times New Roman" w:cs="Times New Roman"/>
          <w:b/>
          <w:sz w:val="28"/>
          <w:szCs w:val="28"/>
        </w:rPr>
        <w:t>В.Ж. – Спасибо за такое интересное освещение темы! Ждем следующе</w:t>
      </w:r>
      <w:r w:rsidR="0036315B" w:rsidRPr="003B7D7D">
        <w:rPr>
          <w:rFonts w:ascii="Times New Roman" w:hAnsi="Times New Roman" w:cs="Times New Roman"/>
          <w:b/>
          <w:sz w:val="28"/>
          <w:szCs w:val="28"/>
        </w:rPr>
        <w:t>го интервью и продолжения разговора об образовании</w:t>
      </w:r>
      <w:r w:rsidRPr="003B7D7D">
        <w:rPr>
          <w:rFonts w:ascii="Times New Roman" w:hAnsi="Times New Roman" w:cs="Times New Roman"/>
          <w:b/>
          <w:sz w:val="28"/>
          <w:szCs w:val="28"/>
        </w:rPr>
        <w:t>!</w:t>
      </w:r>
    </w:p>
    <w:p w:rsidR="00C2261D" w:rsidRPr="003B7D7D" w:rsidRDefault="00C2261D" w:rsidP="00494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b/>
          <w:sz w:val="28"/>
          <w:szCs w:val="28"/>
        </w:rPr>
        <w:t xml:space="preserve">Ю.Б. </w:t>
      </w:r>
      <w:r w:rsidRPr="003B7D7D">
        <w:rPr>
          <w:rFonts w:ascii="Times New Roman" w:hAnsi="Times New Roman" w:cs="Times New Roman"/>
          <w:sz w:val="28"/>
          <w:szCs w:val="28"/>
        </w:rPr>
        <w:t xml:space="preserve">– </w:t>
      </w:r>
      <w:r w:rsidR="00E00C8C" w:rsidRPr="003B7D7D">
        <w:rPr>
          <w:rFonts w:ascii="Times New Roman" w:hAnsi="Times New Roman" w:cs="Times New Roman"/>
          <w:sz w:val="28"/>
          <w:szCs w:val="28"/>
        </w:rPr>
        <w:t xml:space="preserve">Спасибо Вам за интересные вопросы! </w:t>
      </w:r>
      <w:r w:rsidRPr="003B7D7D">
        <w:rPr>
          <w:rFonts w:ascii="Times New Roman" w:hAnsi="Times New Roman" w:cs="Times New Roman"/>
          <w:sz w:val="28"/>
          <w:szCs w:val="28"/>
        </w:rPr>
        <w:t>До встречи!</w:t>
      </w:r>
    </w:p>
    <w:p w:rsidR="000D6DC8" w:rsidRPr="003B7D7D" w:rsidRDefault="000D6DC8" w:rsidP="004948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48C6" w:rsidRPr="003B7D7D" w:rsidRDefault="004948C6" w:rsidP="00494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8C6" w:rsidRPr="003B7D7D" w:rsidRDefault="004948C6" w:rsidP="00494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48C6" w:rsidRPr="003B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A46" w:rsidRDefault="00FA4A46" w:rsidP="003E582F">
      <w:pPr>
        <w:spacing w:after="0" w:line="240" w:lineRule="auto"/>
      </w:pPr>
      <w:r>
        <w:separator/>
      </w:r>
    </w:p>
  </w:endnote>
  <w:endnote w:type="continuationSeparator" w:id="0">
    <w:p w:rsidR="00FA4A46" w:rsidRDefault="00FA4A46" w:rsidP="003E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A46" w:rsidRDefault="00FA4A46" w:rsidP="003E582F">
      <w:pPr>
        <w:spacing w:after="0" w:line="240" w:lineRule="auto"/>
      </w:pPr>
      <w:r>
        <w:separator/>
      </w:r>
    </w:p>
  </w:footnote>
  <w:footnote w:type="continuationSeparator" w:id="0">
    <w:p w:rsidR="00FA4A46" w:rsidRDefault="00FA4A46" w:rsidP="003E582F">
      <w:pPr>
        <w:spacing w:after="0" w:line="240" w:lineRule="auto"/>
      </w:pPr>
      <w:r>
        <w:continuationSeparator/>
      </w:r>
    </w:p>
  </w:footnote>
  <w:footnote w:id="1">
    <w:p w:rsidR="003B7D7D" w:rsidRPr="006A1897" w:rsidRDefault="003B7D7D" w:rsidP="003B7D7D">
      <w:pPr>
        <w:pStyle w:val="a5"/>
        <w:jc w:val="both"/>
        <w:rPr>
          <w:sz w:val="22"/>
          <w:szCs w:val="22"/>
          <w:lang w:val="en-US"/>
        </w:rPr>
      </w:pPr>
      <w:r>
        <w:rPr>
          <w:rStyle w:val="a4"/>
        </w:rPr>
        <w:footnoteRef/>
      </w:r>
      <w:r w:rsidRPr="00FD6666">
        <w:rPr>
          <w:lang w:val="en-US"/>
        </w:rPr>
        <w:t xml:space="preserve"> </w:t>
      </w:r>
      <w:bookmarkStart w:id="0" w:name="_GoBack"/>
      <w:bookmarkEnd w:id="0"/>
      <w:r w:rsidRPr="006A1897">
        <w:rPr>
          <w:rStyle w:val="nlmstring-name"/>
          <w:spacing w:val="5"/>
          <w:sz w:val="22"/>
          <w:szCs w:val="22"/>
          <w:shd w:val="clear" w:color="auto" w:fill="FFFFFF"/>
          <w:lang w:val="en-US"/>
        </w:rPr>
        <w:t>Booth, S.A.</w:t>
      </w:r>
      <w:r>
        <w:rPr>
          <w:spacing w:val="5"/>
          <w:sz w:val="22"/>
          <w:szCs w:val="22"/>
          <w:shd w:val="clear" w:color="auto" w:fill="FFFFFF"/>
          <w:lang w:val="en-US"/>
        </w:rPr>
        <w:t xml:space="preserve"> </w:t>
      </w:r>
      <w:r w:rsidRPr="006A1897">
        <w:rPr>
          <w:spacing w:val="5"/>
          <w:sz w:val="22"/>
          <w:szCs w:val="22"/>
          <w:shd w:val="clear" w:color="auto" w:fill="FFFFFF"/>
          <w:lang w:val="en-US"/>
        </w:rPr>
        <w:t xml:space="preserve">and </w:t>
      </w:r>
      <w:r w:rsidRPr="006A1897">
        <w:rPr>
          <w:rStyle w:val="nlmstring-name"/>
          <w:spacing w:val="5"/>
          <w:sz w:val="22"/>
          <w:szCs w:val="22"/>
          <w:shd w:val="clear" w:color="auto" w:fill="FFFFFF"/>
          <w:lang w:val="en-US"/>
        </w:rPr>
        <w:t xml:space="preserve">Anderberg, E. </w:t>
      </w:r>
      <w:r w:rsidRPr="006A1897">
        <w:rPr>
          <w:spacing w:val="5"/>
          <w:sz w:val="22"/>
          <w:szCs w:val="22"/>
          <w:shd w:val="clear" w:color="auto" w:fill="FFFFFF"/>
          <w:lang w:val="en-US"/>
        </w:rPr>
        <w:t>(</w:t>
      </w:r>
      <w:r w:rsidRPr="006A1897">
        <w:rPr>
          <w:rStyle w:val="nlmyear"/>
          <w:spacing w:val="5"/>
          <w:sz w:val="22"/>
          <w:szCs w:val="22"/>
          <w:shd w:val="clear" w:color="auto" w:fill="FFFFFF"/>
          <w:lang w:val="en-US"/>
        </w:rPr>
        <w:t>2005</w:t>
      </w:r>
      <w:r w:rsidRPr="006A1897">
        <w:rPr>
          <w:spacing w:val="5"/>
          <w:sz w:val="22"/>
          <w:szCs w:val="22"/>
          <w:shd w:val="clear" w:color="auto" w:fill="FFFFFF"/>
          <w:lang w:val="en-US"/>
        </w:rPr>
        <w:t>), “</w:t>
      </w:r>
      <w:r w:rsidRPr="006A1897">
        <w:rPr>
          <w:rStyle w:val="nlmarticle-title"/>
          <w:i/>
          <w:iCs/>
          <w:spacing w:val="5"/>
          <w:sz w:val="22"/>
          <w:szCs w:val="22"/>
          <w:shd w:val="clear" w:color="auto" w:fill="FFFFFF"/>
          <w:lang w:val="en-US"/>
        </w:rPr>
        <w:t>Academic development for knowledge capabilities. Learning, reflecting and developing</w:t>
      </w:r>
      <w:r w:rsidRPr="006A1897">
        <w:rPr>
          <w:spacing w:val="5"/>
          <w:sz w:val="22"/>
          <w:szCs w:val="22"/>
          <w:shd w:val="clear" w:color="auto" w:fill="FFFFFF"/>
          <w:lang w:val="en-US"/>
        </w:rPr>
        <w:t xml:space="preserve">”, </w:t>
      </w:r>
      <w:r w:rsidRPr="006A1897">
        <w:rPr>
          <w:i/>
          <w:iCs/>
          <w:spacing w:val="5"/>
          <w:sz w:val="22"/>
          <w:szCs w:val="22"/>
          <w:shd w:val="clear" w:color="auto" w:fill="FFFFFF"/>
          <w:lang w:val="en-US"/>
        </w:rPr>
        <w:t>Higher Education Research &amp; Development</w:t>
      </w:r>
      <w:r>
        <w:rPr>
          <w:spacing w:val="5"/>
          <w:sz w:val="22"/>
          <w:szCs w:val="22"/>
          <w:shd w:val="clear" w:color="auto" w:fill="FFFFFF"/>
          <w:lang w:val="en-US"/>
        </w:rPr>
        <w:t xml:space="preserve">, Vol. 24 No. 4, pp. </w:t>
      </w:r>
      <w:r w:rsidRPr="006A1897">
        <w:rPr>
          <w:rStyle w:val="nlmfpage"/>
          <w:spacing w:val="5"/>
          <w:sz w:val="22"/>
          <w:szCs w:val="22"/>
          <w:shd w:val="clear" w:color="auto" w:fill="FFFFFF"/>
          <w:lang w:val="en-US"/>
        </w:rPr>
        <w:t>373</w:t>
      </w:r>
      <w:r w:rsidRPr="006A1897">
        <w:rPr>
          <w:rFonts w:ascii="Cambria Math" w:hAnsi="Cambria Math" w:cs="Cambria Math"/>
          <w:spacing w:val="5"/>
          <w:sz w:val="22"/>
          <w:szCs w:val="22"/>
          <w:shd w:val="clear" w:color="auto" w:fill="FFFFFF"/>
          <w:lang w:val="en-US"/>
        </w:rPr>
        <w:t>‐</w:t>
      </w:r>
      <w:r w:rsidRPr="006A1897">
        <w:rPr>
          <w:rStyle w:val="nlmlpage"/>
          <w:spacing w:val="5"/>
          <w:sz w:val="22"/>
          <w:szCs w:val="22"/>
          <w:shd w:val="clear" w:color="auto" w:fill="FFFFFF"/>
          <w:lang w:val="en-US"/>
        </w:rPr>
        <w:t>86</w:t>
      </w:r>
      <w:r>
        <w:rPr>
          <w:spacing w:val="5"/>
          <w:sz w:val="22"/>
          <w:szCs w:val="22"/>
          <w:shd w:val="clear" w:color="auto" w:fill="FFFFFF"/>
          <w:lang w:val="en-US"/>
        </w:rPr>
        <w:t>.</w:t>
      </w:r>
    </w:p>
  </w:footnote>
  <w:footnote w:id="2">
    <w:p w:rsidR="003B7D7D" w:rsidRPr="00414477" w:rsidRDefault="003B7D7D" w:rsidP="003B7D7D">
      <w:pPr>
        <w:pStyle w:val="a5"/>
        <w:rPr>
          <w:i/>
          <w:lang w:val="en-US"/>
        </w:rPr>
      </w:pPr>
      <w:r>
        <w:rPr>
          <w:rStyle w:val="a4"/>
        </w:rPr>
        <w:footnoteRef/>
      </w:r>
      <w:r w:rsidRPr="00414477">
        <w:rPr>
          <w:lang w:val="en-US"/>
        </w:rPr>
        <w:t xml:space="preserve"> </w:t>
      </w:r>
      <w:bookmarkStart w:id="1" w:name="_Hlk529634562"/>
      <w:r w:rsidRPr="00414477">
        <w:rPr>
          <w:lang w:val="en-US"/>
        </w:rPr>
        <w:t>J</w:t>
      </w:r>
      <w:r>
        <w:rPr>
          <w:lang w:val="en-US"/>
        </w:rPr>
        <w:t xml:space="preserve">. </w:t>
      </w:r>
      <w:r w:rsidRPr="00414477">
        <w:rPr>
          <w:lang w:val="en-US"/>
        </w:rPr>
        <w:t xml:space="preserve"> McGill  </w:t>
      </w:r>
      <w:r w:rsidRPr="00414477">
        <w:rPr>
          <w:i/>
          <w:lang w:val="en-US"/>
        </w:rPr>
        <w:t>The Migration of International Graduates: Intentions, Outcomes, and Implications, Journal of Studies in International Education</w:t>
      </w:r>
      <w:r w:rsidRPr="00414477">
        <w:rPr>
          <w:lang w:val="en-US"/>
        </w:rPr>
        <w:t xml:space="preserve"> 2018, Vol. 22(4) 334–352 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6B215F8"/>
    <w:multiLevelType w:val="hybridMultilevel"/>
    <w:tmpl w:val="E6D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C6"/>
    <w:rsid w:val="000175B9"/>
    <w:rsid w:val="000200DE"/>
    <w:rsid w:val="00056FA6"/>
    <w:rsid w:val="00075816"/>
    <w:rsid w:val="000D6DC8"/>
    <w:rsid w:val="001469DC"/>
    <w:rsid w:val="0021519E"/>
    <w:rsid w:val="00260D08"/>
    <w:rsid w:val="00267968"/>
    <w:rsid w:val="002D7FCF"/>
    <w:rsid w:val="00336913"/>
    <w:rsid w:val="003467B7"/>
    <w:rsid w:val="0036315B"/>
    <w:rsid w:val="00380EBB"/>
    <w:rsid w:val="003A3B2C"/>
    <w:rsid w:val="003B7D7D"/>
    <w:rsid w:val="003E582F"/>
    <w:rsid w:val="003F67FF"/>
    <w:rsid w:val="0040592A"/>
    <w:rsid w:val="00443536"/>
    <w:rsid w:val="0046377A"/>
    <w:rsid w:val="00467B92"/>
    <w:rsid w:val="004948C6"/>
    <w:rsid w:val="004D05C3"/>
    <w:rsid w:val="00581110"/>
    <w:rsid w:val="005A16EC"/>
    <w:rsid w:val="00630C63"/>
    <w:rsid w:val="00632082"/>
    <w:rsid w:val="00633829"/>
    <w:rsid w:val="006C37D5"/>
    <w:rsid w:val="00732F12"/>
    <w:rsid w:val="00742480"/>
    <w:rsid w:val="007C67A8"/>
    <w:rsid w:val="0092210E"/>
    <w:rsid w:val="00A034DB"/>
    <w:rsid w:val="00A2225C"/>
    <w:rsid w:val="00B45F98"/>
    <w:rsid w:val="00C04882"/>
    <w:rsid w:val="00C2261D"/>
    <w:rsid w:val="00C36EEC"/>
    <w:rsid w:val="00CC4B87"/>
    <w:rsid w:val="00CE434B"/>
    <w:rsid w:val="00CF637D"/>
    <w:rsid w:val="00D76C42"/>
    <w:rsid w:val="00D973A5"/>
    <w:rsid w:val="00DB14A3"/>
    <w:rsid w:val="00DD3B59"/>
    <w:rsid w:val="00E00C8C"/>
    <w:rsid w:val="00E248A5"/>
    <w:rsid w:val="00E54197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CAE3"/>
  <w15:chartTrackingRefBased/>
  <w15:docId w15:val="{9CBE77CF-FD91-43D2-909D-170DE34E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3E582F"/>
    <w:rPr>
      <w:vertAlign w:val="superscript"/>
    </w:rPr>
  </w:style>
  <w:style w:type="paragraph" w:styleId="a5">
    <w:name w:val="footnote text"/>
    <w:basedOn w:val="a"/>
    <w:link w:val="a6"/>
    <w:semiHidden/>
    <w:rsid w:val="003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5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048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11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7D7D"/>
    <w:pPr>
      <w:ind w:left="720"/>
      <w:contextualSpacing/>
    </w:pPr>
  </w:style>
  <w:style w:type="character" w:customStyle="1" w:styleId="nlmstring-name">
    <w:name w:val="nlm_string-name"/>
    <w:basedOn w:val="a0"/>
    <w:rsid w:val="003B7D7D"/>
  </w:style>
  <w:style w:type="character" w:customStyle="1" w:styleId="nlmyear">
    <w:name w:val="nlm_year"/>
    <w:basedOn w:val="a0"/>
    <w:rsid w:val="003B7D7D"/>
  </w:style>
  <w:style w:type="character" w:customStyle="1" w:styleId="nlmarticle-title">
    <w:name w:val="nlm_article-title"/>
    <w:basedOn w:val="a0"/>
    <w:rsid w:val="003B7D7D"/>
  </w:style>
  <w:style w:type="character" w:customStyle="1" w:styleId="nlmfpage">
    <w:name w:val="nlm_fpage"/>
    <w:basedOn w:val="a0"/>
    <w:rsid w:val="003B7D7D"/>
  </w:style>
  <w:style w:type="character" w:customStyle="1" w:styleId="nlmlpage">
    <w:name w:val="nlm_lpage"/>
    <w:basedOn w:val="a0"/>
    <w:rsid w:val="003B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 </cp:lastModifiedBy>
  <cp:revision>7</cp:revision>
  <dcterms:created xsi:type="dcterms:W3CDTF">2019-11-10T15:53:00Z</dcterms:created>
  <dcterms:modified xsi:type="dcterms:W3CDTF">2019-11-11T20:23:00Z</dcterms:modified>
</cp:coreProperties>
</file>