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8B7" w:rsidRPr="00F06B55" w:rsidRDefault="00D048B7" w:rsidP="00F06B55">
      <w:pPr>
        <w:spacing w:after="0" w:line="240" w:lineRule="auto"/>
        <w:jc w:val="center"/>
        <w:rPr>
          <w:rFonts w:ascii="Times New Roman" w:eastAsia="Times New Roman" w:hAnsi="Times New Roman"/>
          <w:b/>
          <w:color w:val="000000"/>
          <w:sz w:val="24"/>
          <w:szCs w:val="24"/>
          <w:lang w:eastAsia="ru-RU"/>
        </w:rPr>
      </w:pPr>
      <w:bookmarkStart w:id="0" w:name="_GoBack"/>
      <w:r w:rsidRPr="00F06B55">
        <w:rPr>
          <w:rFonts w:ascii="Times New Roman" w:eastAsia="Times New Roman" w:hAnsi="Times New Roman"/>
          <w:b/>
          <w:color w:val="000000"/>
          <w:sz w:val="24"/>
          <w:szCs w:val="24"/>
          <w:lang w:eastAsia="ru-RU"/>
        </w:rPr>
        <w:t xml:space="preserve">ИСПОЛЬЗОВАНИЕ </w:t>
      </w:r>
      <w:r w:rsidR="00174EB5" w:rsidRPr="00F06B55">
        <w:rPr>
          <w:rFonts w:ascii="Times New Roman" w:eastAsia="Times New Roman" w:hAnsi="Times New Roman"/>
          <w:b/>
          <w:color w:val="000000"/>
          <w:sz w:val="24"/>
          <w:szCs w:val="24"/>
          <w:lang w:eastAsia="ru-RU"/>
        </w:rPr>
        <w:t>ТРЕХМЕРНОГО МОДЕЛИРОВАНИЯ</w:t>
      </w:r>
      <w:r w:rsidRPr="00F06B55">
        <w:rPr>
          <w:rFonts w:ascii="Times New Roman" w:eastAsia="Times New Roman" w:hAnsi="Times New Roman"/>
          <w:b/>
          <w:color w:val="000000"/>
          <w:sz w:val="24"/>
          <w:szCs w:val="24"/>
          <w:lang w:eastAsia="ru-RU"/>
        </w:rPr>
        <w:t xml:space="preserve"> В </w:t>
      </w:r>
      <w:r w:rsidR="00174EB5" w:rsidRPr="00F06B55">
        <w:rPr>
          <w:rFonts w:ascii="Times New Roman" w:eastAsia="Times New Roman" w:hAnsi="Times New Roman"/>
          <w:b/>
          <w:color w:val="000000"/>
          <w:sz w:val="24"/>
          <w:szCs w:val="24"/>
          <w:lang w:eastAsia="ru-RU"/>
        </w:rPr>
        <w:t>ОБУЧЕНИИ</w:t>
      </w:r>
      <w:r w:rsidR="00DD24D7" w:rsidRPr="00F06B55">
        <w:rPr>
          <w:rFonts w:ascii="Times New Roman" w:eastAsia="Times New Roman" w:hAnsi="Times New Roman"/>
          <w:b/>
          <w:color w:val="000000"/>
          <w:sz w:val="24"/>
          <w:szCs w:val="24"/>
          <w:lang w:eastAsia="ru-RU"/>
        </w:rPr>
        <w:t xml:space="preserve"> СТУДЕНТОВ </w:t>
      </w:r>
      <w:r w:rsidRPr="00F06B55">
        <w:rPr>
          <w:rFonts w:ascii="Times New Roman" w:eastAsia="Times New Roman" w:hAnsi="Times New Roman"/>
          <w:b/>
          <w:color w:val="000000"/>
          <w:sz w:val="24"/>
          <w:szCs w:val="24"/>
          <w:lang w:eastAsia="ru-RU"/>
        </w:rPr>
        <w:t>ТЕХН</w:t>
      </w:r>
      <w:r w:rsidR="00DD24D7" w:rsidRPr="00F06B55">
        <w:rPr>
          <w:rFonts w:ascii="Times New Roman" w:eastAsia="Times New Roman" w:hAnsi="Times New Roman"/>
          <w:b/>
          <w:color w:val="000000"/>
          <w:sz w:val="24"/>
          <w:szCs w:val="24"/>
          <w:lang w:eastAsia="ru-RU"/>
        </w:rPr>
        <w:t>ИЧЕСКИХ СПЕЦИАЛЬНОСТЕЙ</w:t>
      </w:r>
      <w:bookmarkEnd w:id="0"/>
    </w:p>
    <w:p w:rsidR="00F06B55" w:rsidRPr="00585C43" w:rsidRDefault="00F06B55" w:rsidP="00F06B55">
      <w:pPr>
        <w:spacing w:after="0" w:line="240" w:lineRule="auto"/>
        <w:jc w:val="center"/>
        <w:rPr>
          <w:rFonts w:ascii="Times New Roman" w:eastAsia="Times New Roman" w:hAnsi="Times New Roman"/>
          <w:b/>
          <w:color w:val="000000"/>
          <w:sz w:val="24"/>
          <w:szCs w:val="24"/>
          <w:lang w:eastAsia="ru-RU"/>
        </w:rPr>
      </w:pPr>
      <w:r w:rsidRPr="00585C43">
        <w:rPr>
          <w:rFonts w:ascii="Times New Roman" w:eastAsia="Times New Roman" w:hAnsi="Times New Roman"/>
          <w:b/>
          <w:color w:val="000000"/>
          <w:sz w:val="24"/>
          <w:szCs w:val="24"/>
          <w:lang w:eastAsia="ru-RU"/>
        </w:rPr>
        <w:t>Горюнова Марина Владимировна, преподаватель высшей категории</w:t>
      </w:r>
    </w:p>
    <w:p w:rsidR="00F06B55" w:rsidRDefault="00F06B55" w:rsidP="00F06B55">
      <w:pPr>
        <w:spacing w:after="0" w:line="240" w:lineRule="auto"/>
        <w:jc w:val="center"/>
        <w:rPr>
          <w:rFonts w:ascii="Times New Roman" w:eastAsia="Times New Roman" w:hAnsi="Times New Roman"/>
          <w:color w:val="000000"/>
          <w:sz w:val="24"/>
          <w:szCs w:val="24"/>
          <w:lang w:eastAsia="ru-RU"/>
        </w:rPr>
      </w:pPr>
      <w:r w:rsidRPr="00585C43">
        <w:rPr>
          <w:rFonts w:ascii="Times New Roman" w:eastAsia="Times New Roman" w:hAnsi="Times New Roman"/>
          <w:color w:val="000000"/>
          <w:sz w:val="24"/>
          <w:szCs w:val="24"/>
          <w:lang w:eastAsia="ru-RU"/>
        </w:rPr>
        <w:t xml:space="preserve">Старооскольский технологический институт им. А.А. </w:t>
      </w:r>
      <w:proofErr w:type="spellStart"/>
      <w:r w:rsidRPr="00585C43">
        <w:rPr>
          <w:rFonts w:ascii="Times New Roman" w:eastAsia="Times New Roman" w:hAnsi="Times New Roman"/>
          <w:color w:val="000000"/>
          <w:sz w:val="24"/>
          <w:szCs w:val="24"/>
          <w:lang w:eastAsia="ru-RU"/>
        </w:rPr>
        <w:t>Угарова</w:t>
      </w:r>
      <w:proofErr w:type="spellEnd"/>
      <w:r w:rsidRPr="00585C43">
        <w:rPr>
          <w:rFonts w:ascii="Times New Roman" w:eastAsia="Times New Roman" w:hAnsi="Times New Roman"/>
          <w:color w:val="000000"/>
          <w:sz w:val="24"/>
          <w:szCs w:val="24"/>
          <w:lang w:eastAsia="ru-RU"/>
        </w:rPr>
        <w:t xml:space="preserve"> (филиал) федерального государственного автономного образовательного учреждения высшего образования «Национальный исследовательский техн</w:t>
      </w:r>
      <w:r>
        <w:rPr>
          <w:rFonts w:ascii="Times New Roman" w:eastAsia="Times New Roman" w:hAnsi="Times New Roman"/>
          <w:color w:val="000000"/>
          <w:sz w:val="24"/>
          <w:szCs w:val="24"/>
          <w:lang w:eastAsia="ru-RU"/>
        </w:rPr>
        <w:t>ологический университет «</w:t>
      </w:r>
      <w:proofErr w:type="spellStart"/>
      <w:r>
        <w:rPr>
          <w:rFonts w:ascii="Times New Roman" w:eastAsia="Times New Roman" w:hAnsi="Times New Roman"/>
          <w:color w:val="000000"/>
          <w:sz w:val="24"/>
          <w:szCs w:val="24"/>
          <w:lang w:eastAsia="ru-RU"/>
        </w:rPr>
        <w:t>МИСиС</w:t>
      </w:r>
      <w:proofErr w:type="spellEnd"/>
      <w:r>
        <w:rPr>
          <w:rFonts w:ascii="Times New Roman" w:eastAsia="Times New Roman" w:hAnsi="Times New Roman"/>
          <w:color w:val="000000"/>
          <w:sz w:val="24"/>
          <w:szCs w:val="24"/>
          <w:lang w:eastAsia="ru-RU"/>
        </w:rPr>
        <w:t>»</w:t>
      </w:r>
    </w:p>
    <w:p w:rsidR="00F06B55" w:rsidRPr="00585C43" w:rsidRDefault="00F06B55" w:rsidP="00F06B55">
      <w:pPr>
        <w:spacing w:after="0" w:line="240" w:lineRule="auto"/>
        <w:jc w:val="center"/>
        <w:rPr>
          <w:rFonts w:ascii="Times New Roman" w:eastAsia="Times New Roman" w:hAnsi="Times New Roman"/>
          <w:color w:val="000000"/>
          <w:sz w:val="24"/>
          <w:szCs w:val="24"/>
          <w:lang w:eastAsia="ru-RU"/>
        </w:rPr>
      </w:pPr>
      <w:r w:rsidRPr="00585C43">
        <w:rPr>
          <w:rFonts w:ascii="Times New Roman" w:eastAsia="Times New Roman" w:hAnsi="Times New Roman"/>
          <w:color w:val="000000"/>
          <w:sz w:val="24"/>
          <w:szCs w:val="24"/>
          <w:lang w:eastAsia="ru-RU"/>
        </w:rPr>
        <w:t>Оскольский политехнический колледж, г. Старый Оскол</w:t>
      </w:r>
    </w:p>
    <w:p w:rsidR="00F06B55" w:rsidRPr="00585C43" w:rsidRDefault="00F06B55" w:rsidP="00F06B55">
      <w:pPr>
        <w:spacing w:after="0" w:line="240" w:lineRule="auto"/>
        <w:ind w:firstLine="567"/>
        <w:jc w:val="both"/>
        <w:rPr>
          <w:rFonts w:ascii="Times New Roman" w:eastAsia="Times New Roman" w:hAnsi="Times New Roman"/>
          <w:color w:val="000000"/>
          <w:sz w:val="24"/>
          <w:szCs w:val="24"/>
          <w:lang w:eastAsia="ru-RU"/>
        </w:rPr>
      </w:pPr>
    </w:p>
    <w:p w:rsidR="00A605A8" w:rsidRPr="00F06B55" w:rsidRDefault="00174EB5" w:rsidP="00F06B55">
      <w:pPr>
        <w:spacing w:after="0" w:line="240" w:lineRule="auto"/>
        <w:ind w:firstLine="709"/>
        <w:jc w:val="both"/>
        <w:rPr>
          <w:rFonts w:ascii="Times New Roman" w:hAnsi="Times New Roman"/>
          <w:sz w:val="24"/>
          <w:szCs w:val="24"/>
        </w:rPr>
      </w:pPr>
      <w:r w:rsidRPr="00F06B55">
        <w:rPr>
          <w:rFonts w:ascii="Times New Roman" w:hAnsi="Times New Roman"/>
          <w:sz w:val="24"/>
          <w:szCs w:val="24"/>
        </w:rPr>
        <w:t xml:space="preserve">Современная концепция профессионального образования требует качественной подготовки специалистов, соответствовавших новым требованиям, предъявляемым к современной профессиональной деятельности. Информационный характер системы образования создает предпосылки для универсализации средств и ресурсов </w:t>
      </w:r>
      <w:proofErr w:type="spellStart"/>
      <w:r w:rsidRPr="00F06B55">
        <w:rPr>
          <w:rFonts w:ascii="Times New Roman" w:hAnsi="Times New Roman"/>
          <w:sz w:val="24"/>
          <w:szCs w:val="24"/>
        </w:rPr>
        <w:t>межпредметных</w:t>
      </w:r>
      <w:proofErr w:type="spellEnd"/>
      <w:r w:rsidRPr="00F06B55">
        <w:rPr>
          <w:rFonts w:ascii="Times New Roman" w:hAnsi="Times New Roman"/>
          <w:sz w:val="24"/>
          <w:szCs w:val="24"/>
        </w:rPr>
        <w:t xml:space="preserve"> связей и средств их реализации, предлагая свои средства, методы и формы. Целью этого процесса является формирование у студентов системного научного мышления, экологической и информационной культуры, творческой активности и высокой нравственности – качеств, которые позволят им успешно адаптироваться, жить и работать в глобальном информационном обществе [2]. </w:t>
      </w:r>
    </w:p>
    <w:p w:rsidR="00A605A8" w:rsidRPr="00F06B55" w:rsidRDefault="00174EB5" w:rsidP="00F06B55">
      <w:pPr>
        <w:spacing w:after="0" w:line="240" w:lineRule="auto"/>
        <w:ind w:firstLine="709"/>
        <w:jc w:val="both"/>
        <w:rPr>
          <w:rFonts w:ascii="Times New Roman" w:hAnsi="Times New Roman"/>
          <w:sz w:val="24"/>
          <w:szCs w:val="24"/>
        </w:rPr>
      </w:pPr>
      <w:r w:rsidRPr="00F06B55">
        <w:rPr>
          <w:rFonts w:ascii="Times New Roman" w:hAnsi="Times New Roman"/>
          <w:sz w:val="24"/>
          <w:szCs w:val="24"/>
        </w:rPr>
        <w:t xml:space="preserve">Для повышения профессиональной компетенции будущих специалистов необходимо реализовать главные идеи образования, одним из направлений которого, является внедрение в образовательный процесс компьютерных технологий. Информационные технологии оказывают большое влияние на подготовку к будущей профессиональной деятельности. В результате их использования в учебном процессе повышаются эмоциональный отклик студентов на процесс познания, мотивация учения, интерес к овладению новыми знаниями, умениями и практическое их применение, способствует развитию способностей студентов, активизирует мышление. Именно трехмерное моделирование в ходе создания чертежей позволяет, начиная с первого курса обучения, студентам сформировать образ изучаемого объекта. На сегодняшний день чуть ли не единственная дисциплина, «… изучение ее является лучшим средством развития нашего воображения, а без достаточно развитого воображения немыслимо никакое серьезное техническое творчество, т.е. проектирование». Начертательная геометрия составляет основу </w:t>
      </w:r>
      <w:r w:rsidR="00A605A8" w:rsidRPr="00F06B55">
        <w:rPr>
          <w:rFonts w:ascii="Times New Roman" w:hAnsi="Times New Roman"/>
          <w:sz w:val="24"/>
          <w:szCs w:val="24"/>
        </w:rPr>
        <w:t>технического</w:t>
      </w:r>
      <w:r w:rsidRPr="00F06B55">
        <w:rPr>
          <w:rFonts w:ascii="Times New Roman" w:hAnsi="Times New Roman"/>
          <w:sz w:val="24"/>
          <w:szCs w:val="24"/>
        </w:rPr>
        <w:t xml:space="preserve"> образования, формирующего базовые знания, необходимые для изучения специальных дисциплин [1]. </w:t>
      </w:r>
    </w:p>
    <w:p w:rsidR="00A605A8" w:rsidRPr="00F06B55" w:rsidRDefault="00174EB5" w:rsidP="00F06B55">
      <w:pPr>
        <w:spacing w:after="0" w:line="240" w:lineRule="auto"/>
        <w:ind w:firstLine="709"/>
        <w:jc w:val="both"/>
        <w:rPr>
          <w:rFonts w:ascii="Times New Roman" w:hAnsi="Times New Roman"/>
          <w:sz w:val="24"/>
          <w:szCs w:val="24"/>
        </w:rPr>
      </w:pPr>
      <w:r w:rsidRPr="00F06B55">
        <w:rPr>
          <w:rFonts w:ascii="Times New Roman" w:hAnsi="Times New Roman"/>
          <w:sz w:val="24"/>
          <w:szCs w:val="24"/>
        </w:rPr>
        <w:t xml:space="preserve">Но в тоже время основным препятствием освоения начертательной геометрии является сложность восприятия проекционного чертежа, так как проекция формируется в сознании работой мозга, а для обработки графической информации, данной в обобщенном виде, требуется подключение не только логического мышления, но и образного. Образное мышление определяется не только субъективными, природными способностями, но и опытом восприятия изображений (произведений искусства, чертежей, рисунков и т.п.). С помощью трехмерного моделирования в среде графических пакетов задача визуального представления геометрических объектов значительно упрощается. </w:t>
      </w:r>
    </w:p>
    <w:p w:rsidR="00CB2B74" w:rsidRPr="00F06B55" w:rsidRDefault="00174EB5" w:rsidP="00F06B55">
      <w:pPr>
        <w:spacing w:after="0" w:line="240" w:lineRule="auto"/>
        <w:ind w:firstLine="709"/>
        <w:jc w:val="both"/>
        <w:rPr>
          <w:rFonts w:ascii="Times New Roman" w:hAnsi="Times New Roman"/>
          <w:sz w:val="24"/>
          <w:szCs w:val="24"/>
        </w:rPr>
      </w:pPr>
      <w:r w:rsidRPr="00F06B55">
        <w:rPr>
          <w:rFonts w:ascii="Times New Roman" w:hAnsi="Times New Roman"/>
          <w:sz w:val="24"/>
          <w:szCs w:val="24"/>
        </w:rPr>
        <w:t xml:space="preserve">Использование трехмерного моделирования позволяет создать визуальный образ объекта, использовать цвет, анимацию, но, тем не менее, не должно отвлекать внимание обучающихся от решения поставленных задач. Умение анализировать ортогональный чертеж геометрического объекта, расчленить его сложную форму на простые составляющие геометрические тела – позволит легко переходить от 3D-моделей к плоским чертежам, при этом значительно упрощая процесс редактирования чертежей. Конечно в CAD, CAE – системах создаваемые по 3D-модели чертежи представляют собой вторичную форму отображения объекта. Язык чертежа – язык производства, включающий в себя весь опыт и знания, накопленные многими поколениями инженеров. И не зная начертательной геометрии, инженерной графики невозможно иметь инженерное мышление. Использование трехмерного моделирования позволяет создать визуальный образ объекта, использовать цвет, анимацию, но, тем не менее, не должно отвлекать внимание обучающихся от решения поставленных задач. Умение анализировать ортогональный чертеж геометрического объекта, </w:t>
      </w:r>
      <w:r w:rsidRPr="00F06B55">
        <w:rPr>
          <w:rFonts w:ascii="Times New Roman" w:hAnsi="Times New Roman"/>
          <w:sz w:val="24"/>
          <w:szCs w:val="24"/>
        </w:rPr>
        <w:lastRenderedPageBreak/>
        <w:t xml:space="preserve">расчленить его сложную форму на простые составляющие геометрические тела – позволит легко переходить от 3D-моделей к плоским чертежам, при этом значительно упрощая процесс редактирования чертежей. Развитие и применение современных графических пакетов при изучении графических дисциплин обусловлены спецификой образования студентов, требующей для дальнейшей проектной деятельности развитого пространственного мышления, умений воспринимать и производить графическую информацию. Трехмерное проектирование изделий является одной из актуальных задач машиностроительного производства. Создание компьютерной модели является аналогом изготовления макета изделия или первого образца, но со значительно меньшими затратами материалов, труда и средств. На основе трехмерной компьютерной модели конструктивно обрабатываются все элементы и узлы изделия, выявляются недоработки, вносятся изменения. </w:t>
      </w:r>
    </w:p>
    <w:p w:rsidR="00CB2B74" w:rsidRPr="00F06B55" w:rsidRDefault="00174EB5" w:rsidP="00F06B55">
      <w:pPr>
        <w:spacing w:after="0" w:line="240" w:lineRule="auto"/>
        <w:ind w:firstLine="709"/>
        <w:jc w:val="both"/>
        <w:rPr>
          <w:rFonts w:ascii="Times New Roman" w:hAnsi="Times New Roman"/>
          <w:sz w:val="24"/>
          <w:szCs w:val="24"/>
        </w:rPr>
      </w:pPr>
      <w:r w:rsidRPr="00F06B55">
        <w:rPr>
          <w:rFonts w:ascii="Times New Roman" w:hAnsi="Times New Roman"/>
          <w:sz w:val="24"/>
          <w:szCs w:val="24"/>
        </w:rPr>
        <w:t xml:space="preserve">Известно, что разработка продукции – наиболее сложный процесс в ее жизненном цикле с точки зрения обеспечения качества этой продукции. Именно на этой стадии жизненного цикла закладывается уровень качества продукции, который затем обеспечивается в производстве, поддерживается, проявляется и реализуется в эксплуатации или потреблении. Известно правило «70:20:10», согласно которому успешное решение проблемы качества продукции на 70% зависит от качества ее проектирования, 20% - от изготовления и на 10% - от эксплуатации, а именно качество продукции определяет ее конкурентоспособность. «Предпосылкой для реализации концепции ЖЦИ является переход в процессе проектирования от бумажной и двухмерной электронной документации к твердотельному 3D-моделированию изделий и их компонентов в CAD-средах. Созданная на этапе проектирования виртуальная модель изделия несет в себе информацию о топологии и геометрии деталей и изделия в целом, физико-механические характеристики материала» [3]. </w:t>
      </w:r>
    </w:p>
    <w:p w:rsidR="00A605A8" w:rsidRPr="00F06B55" w:rsidRDefault="00174EB5" w:rsidP="00F06B55">
      <w:pPr>
        <w:spacing w:after="0" w:line="240" w:lineRule="auto"/>
        <w:ind w:firstLine="709"/>
        <w:jc w:val="both"/>
        <w:rPr>
          <w:rFonts w:ascii="Times New Roman" w:hAnsi="Times New Roman"/>
          <w:sz w:val="24"/>
          <w:szCs w:val="24"/>
        </w:rPr>
      </w:pPr>
      <w:r w:rsidRPr="00F06B55">
        <w:rPr>
          <w:rFonts w:ascii="Times New Roman" w:hAnsi="Times New Roman"/>
          <w:sz w:val="24"/>
          <w:szCs w:val="24"/>
        </w:rPr>
        <w:t xml:space="preserve">В мире двухмерного моделирования результирующими данными проектирования являются чертежи, с которыми идет постоянная работа на протяжении всего жизненного цикла изделия. При трехмерном моделировании ключевой элемент – твердотельная модель. Чертежи являются лишь одним из видов представления модели. По модели гораздо проще представить себе изделие еще до того, как оно будет физически изготовлено. Кроме лучшего визуального представления проектируемых изделий 3D-графика на порядок повышает точность проектирования, особенно сложных 3D-объектов, позволяет легко редактировать трехмерную модель, за счет чего достигается экономия времени на проектирование. Наличие виртуальной модели изделия позволяет провести в CAE-средах весь комплекс вычислительных экспериментов по моделированию рабочих процессов в изделии и его элементах, чтобы не только оценить их работоспособность по всем показателям, но и добиться существенного улучшения массогабаритных характеристик за счет оптимизации ключевых размеров деталей и сборочных единиц. По существу на этапе проектирования изделия обеспечиваются его работоспособность и качество[3]. Ведь 3D-модель является не только наиболее полным, точным и наглядным носителем информации о проектируемом изделии, но и служит основным звеном в развитии имитационных методов, симуляции механообработки деталей на станках с ЧПУ, анализа конфликтных ситуаций в сборках и пр. </w:t>
      </w:r>
    </w:p>
    <w:p w:rsidR="00174EB5" w:rsidRPr="00F06B55" w:rsidRDefault="00174EB5" w:rsidP="00F06B55">
      <w:pPr>
        <w:spacing w:after="0" w:line="240" w:lineRule="auto"/>
        <w:ind w:firstLine="709"/>
        <w:jc w:val="both"/>
        <w:rPr>
          <w:rFonts w:ascii="Times New Roman" w:hAnsi="Times New Roman"/>
          <w:sz w:val="24"/>
          <w:szCs w:val="24"/>
        </w:rPr>
      </w:pPr>
      <w:r w:rsidRPr="00F06B55">
        <w:rPr>
          <w:rFonts w:ascii="Times New Roman" w:hAnsi="Times New Roman"/>
          <w:sz w:val="24"/>
          <w:szCs w:val="24"/>
        </w:rPr>
        <w:t xml:space="preserve">Таким образом, использование систем автоматизированного проектирования, основывающихся на трехмерном моделировании, сегодня является стандартом для создания конструкторской и технологической документации (не принципиально, на базе какой САПР строить обучение, так как основные операции в любой из них похожи). Это, в свою очередь, обусловливает специальные требования к подготовке </w:t>
      </w:r>
      <w:r w:rsidR="00A605A8" w:rsidRPr="00F06B55">
        <w:rPr>
          <w:rFonts w:ascii="Times New Roman" w:hAnsi="Times New Roman"/>
          <w:sz w:val="24"/>
          <w:szCs w:val="24"/>
        </w:rPr>
        <w:t>студентов</w:t>
      </w:r>
      <w:r w:rsidRPr="00F06B55">
        <w:rPr>
          <w:rFonts w:ascii="Times New Roman" w:hAnsi="Times New Roman"/>
          <w:sz w:val="24"/>
          <w:szCs w:val="24"/>
        </w:rPr>
        <w:t xml:space="preserve"> в </w:t>
      </w:r>
      <w:r w:rsidR="00A605A8" w:rsidRPr="00F06B55">
        <w:rPr>
          <w:rFonts w:ascii="Times New Roman" w:hAnsi="Times New Roman"/>
          <w:sz w:val="24"/>
          <w:szCs w:val="24"/>
        </w:rPr>
        <w:t>поли</w:t>
      </w:r>
      <w:r w:rsidRPr="00F06B55">
        <w:rPr>
          <w:rFonts w:ascii="Times New Roman" w:hAnsi="Times New Roman"/>
          <w:sz w:val="24"/>
          <w:szCs w:val="24"/>
        </w:rPr>
        <w:t xml:space="preserve">техническом </w:t>
      </w:r>
      <w:r w:rsidR="00A605A8" w:rsidRPr="00F06B55">
        <w:rPr>
          <w:rFonts w:ascii="Times New Roman" w:hAnsi="Times New Roman"/>
          <w:sz w:val="24"/>
          <w:szCs w:val="24"/>
        </w:rPr>
        <w:t>колледже</w:t>
      </w:r>
      <w:r w:rsidRPr="00F06B55">
        <w:rPr>
          <w:rFonts w:ascii="Times New Roman" w:hAnsi="Times New Roman"/>
          <w:sz w:val="24"/>
          <w:szCs w:val="24"/>
        </w:rPr>
        <w:t xml:space="preserve">. В процессе организации профессиональной подготовки как необходимое условие выступают: формирование заданных уровней компетентности, профессиональная культура специалиста, развитие его потребностей в постоянном профессиональном самосовершенствовании. Данные условия являются базовыми для эффективной деятельности в обстановке </w:t>
      </w:r>
      <w:r w:rsidR="00A605A8" w:rsidRPr="00F06B55">
        <w:rPr>
          <w:rFonts w:ascii="Times New Roman" w:hAnsi="Times New Roman"/>
          <w:sz w:val="24"/>
          <w:szCs w:val="24"/>
        </w:rPr>
        <w:t>конкурентоспособной</w:t>
      </w:r>
      <w:r w:rsidRPr="00F06B55">
        <w:rPr>
          <w:rFonts w:ascii="Times New Roman" w:hAnsi="Times New Roman"/>
          <w:sz w:val="24"/>
          <w:szCs w:val="24"/>
        </w:rPr>
        <w:t xml:space="preserve"> среды. </w:t>
      </w:r>
    </w:p>
    <w:p w:rsidR="00F06B55" w:rsidRPr="00B43D36" w:rsidRDefault="00F06B55" w:rsidP="00F06B55">
      <w:pPr>
        <w:spacing w:after="0" w:line="240" w:lineRule="auto"/>
        <w:jc w:val="center"/>
        <w:rPr>
          <w:rFonts w:ascii="Times New Roman" w:eastAsia="Times New Roman" w:hAnsi="Times New Roman"/>
          <w:color w:val="000000"/>
          <w:sz w:val="24"/>
          <w:szCs w:val="24"/>
          <w:lang w:eastAsia="ru-RU"/>
        </w:rPr>
      </w:pPr>
      <w:r w:rsidRPr="00585C43">
        <w:rPr>
          <w:rFonts w:ascii="Times New Roman" w:eastAsia="Times New Roman" w:hAnsi="Times New Roman"/>
          <w:color w:val="000000"/>
          <w:sz w:val="24"/>
          <w:szCs w:val="24"/>
          <w:lang w:eastAsia="ru-RU"/>
        </w:rPr>
        <w:t>Список использованных источников</w:t>
      </w:r>
    </w:p>
    <w:p w:rsidR="00CB2B74" w:rsidRPr="00F06B55" w:rsidRDefault="00174EB5" w:rsidP="00F06B55">
      <w:pPr>
        <w:spacing w:after="0" w:line="240" w:lineRule="auto"/>
        <w:ind w:firstLine="709"/>
        <w:jc w:val="both"/>
        <w:rPr>
          <w:rFonts w:ascii="Times New Roman" w:hAnsi="Times New Roman"/>
          <w:sz w:val="24"/>
          <w:szCs w:val="24"/>
        </w:rPr>
      </w:pPr>
      <w:r w:rsidRPr="00F06B55">
        <w:rPr>
          <w:rFonts w:ascii="Times New Roman" w:hAnsi="Times New Roman"/>
          <w:sz w:val="24"/>
          <w:szCs w:val="24"/>
        </w:rPr>
        <w:lastRenderedPageBreak/>
        <w:t xml:space="preserve">1. Борисенко И. Г. Инновационные технологии в преподавании начертательной геометрии при формировании профессиональных компетенций. // Вестник </w:t>
      </w:r>
      <w:proofErr w:type="spellStart"/>
      <w:r w:rsidRPr="00F06B55">
        <w:rPr>
          <w:rFonts w:ascii="Times New Roman" w:hAnsi="Times New Roman"/>
          <w:sz w:val="24"/>
          <w:szCs w:val="24"/>
        </w:rPr>
        <w:t>ИрГТУ</w:t>
      </w:r>
      <w:proofErr w:type="spellEnd"/>
      <w:r w:rsidRPr="00F06B55">
        <w:rPr>
          <w:rFonts w:ascii="Times New Roman" w:hAnsi="Times New Roman"/>
          <w:sz w:val="24"/>
          <w:szCs w:val="24"/>
        </w:rPr>
        <w:t xml:space="preserve">. – 2011. – № 12(59). – 398 с. С. 355-357 </w:t>
      </w:r>
    </w:p>
    <w:p w:rsidR="00CB2B74" w:rsidRDefault="00174EB5" w:rsidP="00F06B55">
      <w:pPr>
        <w:spacing w:after="0" w:line="240" w:lineRule="auto"/>
        <w:ind w:firstLine="709"/>
        <w:jc w:val="both"/>
        <w:rPr>
          <w:rFonts w:ascii="Times New Roman" w:hAnsi="Times New Roman"/>
          <w:sz w:val="24"/>
          <w:szCs w:val="24"/>
        </w:rPr>
      </w:pPr>
      <w:r w:rsidRPr="00F06B55">
        <w:rPr>
          <w:rFonts w:ascii="Times New Roman" w:hAnsi="Times New Roman"/>
          <w:sz w:val="24"/>
          <w:szCs w:val="24"/>
        </w:rPr>
        <w:t xml:space="preserve">2. Борисенко И. Г. Информация в образовательной системе: особенности социально-философского исследования. // Вестник </w:t>
      </w:r>
      <w:proofErr w:type="spellStart"/>
      <w:r w:rsidRPr="00F06B55">
        <w:rPr>
          <w:rFonts w:ascii="Times New Roman" w:hAnsi="Times New Roman"/>
          <w:sz w:val="24"/>
          <w:szCs w:val="24"/>
        </w:rPr>
        <w:t>ИрГТУ</w:t>
      </w:r>
      <w:proofErr w:type="spellEnd"/>
      <w:r w:rsidRPr="00F06B55">
        <w:rPr>
          <w:rFonts w:ascii="Times New Roman" w:hAnsi="Times New Roman"/>
          <w:sz w:val="24"/>
          <w:szCs w:val="24"/>
        </w:rPr>
        <w:t xml:space="preserve">. – 2012. – №4(63). – 347 с. Стр. 298–302. </w:t>
      </w:r>
    </w:p>
    <w:p w:rsidR="00F06B55" w:rsidRDefault="00F06B55" w:rsidP="00F06B55">
      <w:pPr>
        <w:spacing w:after="0" w:line="240" w:lineRule="auto"/>
        <w:ind w:firstLine="709"/>
        <w:jc w:val="both"/>
        <w:rPr>
          <w:rFonts w:ascii="Times New Roman" w:hAnsi="Times New Roman"/>
          <w:sz w:val="24"/>
          <w:szCs w:val="24"/>
        </w:rPr>
      </w:pPr>
      <w:r w:rsidRPr="00F06B55">
        <w:rPr>
          <w:rFonts w:ascii="Times New Roman" w:hAnsi="Times New Roman"/>
          <w:sz w:val="24"/>
          <w:szCs w:val="24"/>
        </w:rPr>
        <w:t xml:space="preserve">3. </w:t>
      </w:r>
      <w:proofErr w:type="spellStart"/>
      <w:r w:rsidRPr="00F06B55">
        <w:rPr>
          <w:rFonts w:ascii="Times New Roman" w:hAnsi="Times New Roman"/>
          <w:sz w:val="24"/>
          <w:szCs w:val="24"/>
        </w:rPr>
        <w:t>Болбат</w:t>
      </w:r>
      <w:proofErr w:type="spellEnd"/>
      <w:r w:rsidRPr="00F06B55">
        <w:rPr>
          <w:rFonts w:ascii="Times New Roman" w:hAnsi="Times New Roman"/>
          <w:sz w:val="24"/>
          <w:szCs w:val="24"/>
        </w:rPr>
        <w:t xml:space="preserve"> О. Б. О системе непрерывной графической подготовки / О. Б. </w:t>
      </w:r>
      <w:proofErr w:type="spellStart"/>
      <w:r w:rsidRPr="00F06B55">
        <w:rPr>
          <w:rFonts w:ascii="Times New Roman" w:hAnsi="Times New Roman"/>
          <w:sz w:val="24"/>
          <w:szCs w:val="24"/>
        </w:rPr>
        <w:t>Болбат</w:t>
      </w:r>
      <w:proofErr w:type="spellEnd"/>
      <w:r w:rsidRPr="00F06B55">
        <w:rPr>
          <w:rFonts w:ascii="Times New Roman" w:hAnsi="Times New Roman"/>
          <w:sz w:val="24"/>
          <w:szCs w:val="24"/>
        </w:rPr>
        <w:t xml:space="preserve">, А. В. Петухова // Проблемы качества графической подготовки студентов в техническом вузе: традиции и инновации. – 2014. – Т. 1. – С. 147–151. </w:t>
      </w:r>
    </w:p>
    <w:p w:rsidR="00F06B55" w:rsidRPr="00F06B55" w:rsidRDefault="00F06B55" w:rsidP="00F06B55">
      <w:pPr>
        <w:spacing w:after="0" w:line="240" w:lineRule="auto"/>
        <w:ind w:firstLine="709"/>
        <w:jc w:val="both"/>
        <w:rPr>
          <w:rFonts w:ascii="Times New Roman" w:hAnsi="Times New Roman"/>
          <w:sz w:val="24"/>
          <w:szCs w:val="24"/>
        </w:rPr>
      </w:pPr>
      <w:r>
        <w:rPr>
          <w:rFonts w:ascii="Times New Roman" w:hAnsi="Times New Roman"/>
          <w:sz w:val="24"/>
          <w:szCs w:val="24"/>
        </w:rPr>
        <w:t>4. Вольхин</w:t>
      </w:r>
      <w:r w:rsidRPr="00F06B55">
        <w:rPr>
          <w:rFonts w:ascii="Times New Roman" w:hAnsi="Times New Roman"/>
          <w:sz w:val="24"/>
          <w:szCs w:val="24"/>
        </w:rPr>
        <w:t xml:space="preserve"> К. А. Начертательная </w:t>
      </w:r>
      <w:proofErr w:type="gramStart"/>
      <w:r w:rsidRPr="00F06B55">
        <w:rPr>
          <w:rFonts w:ascii="Times New Roman" w:hAnsi="Times New Roman"/>
          <w:sz w:val="24"/>
          <w:szCs w:val="24"/>
        </w:rPr>
        <w:t>геометрия :</w:t>
      </w:r>
      <w:proofErr w:type="gramEnd"/>
      <w:r w:rsidRPr="00F06B55">
        <w:rPr>
          <w:rFonts w:ascii="Times New Roman" w:hAnsi="Times New Roman"/>
          <w:sz w:val="24"/>
          <w:szCs w:val="24"/>
        </w:rPr>
        <w:t xml:space="preserve"> сборник индивидуальных графических заданий с методическими указаниями по их выполнению [Электронный ресурс] / К. А. Вольхин. – Режим доступа: http://www. grafika.stu.ru/</w:t>
      </w:r>
      <w:proofErr w:type="spellStart"/>
      <w:r w:rsidRPr="00F06B55">
        <w:rPr>
          <w:rFonts w:ascii="Times New Roman" w:hAnsi="Times New Roman"/>
          <w:sz w:val="24"/>
          <w:szCs w:val="24"/>
        </w:rPr>
        <w:t>wolchin</w:t>
      </w:r>
      <w:proofErr w:type="spellEnd"/>
      <w:r w:rsidRPr="00F06B55">
        <w:rPr>
          <w:rFonts w:ascii="Times New Roman" w:hAnsi="Times New Roman"/>
          <w:sz w:val="24"/>
          <w:szCs w:val="24"/>
        </w:rPr>
        <w:t>/</w:t>
      </w:r>
      <w:proofErr w:type="spellStart"/>
      <w:r w:rsidRPr="00F06B55">
        <w:rPr>
          <w:rFonts w:ascii="Times New Roman" w:hAnsi="Times New Roman"/>
          <w:sz w:val="24"/>
          <w:szCs w:val="24"/>
        </w:rPr>
        <w:t>umm</w:t>
      </w:r>
      <w:proofErr w:type="spellEnd"/>
      <w:r w:rsidRPr="00F06B55">
        <w:rPr>
          <w:rFonts w:ascii="Times New Roman" w:hAnsi="Times New Roman"/>
          <w:sz w:val="24"/>
          <w:szCs w:val="24"/>
        </w:rPr>
        <w:t>/</w:t>
      </w:r>
      <w:proofErr w:type="spellStart"/>
      <w:r w:rsidRPr="00F06B55">
        <w:rPr>
          <w:rFonts w:ascii="Times New Roman" w:hAnsi="Times New Roman"/>
          <w:sz w:val="24"/>
          <w:szCs w:val="24"/>
        </w:rPr>
        <w:t>igz_ng</w:t>
      </w:r>
      <w:proofErr w:type="spellEnd"/>
      <w:r w:rsidRPr="00F06B55">
        <w:rPr>
          <w:rFonts w:ascii="Times New Roman" w:hAnsi="Times New Roman"/>
          <w:sz w:val="24"/>
          <w:szCs w:val="24"/>
        </w:rPr>
        <w:t>/index.htm</w:t>
      </w:r>
    </w:p>
    <w:p w:rsidR="006540A1" w:rsidRPr="00F06B55" w:rsidRDefault="00F06B55" w:rsidP="00F06B55">
      <w:pPr>
        <w:spacing w:after="0" w:line="240" w:lineRule="auto"/>
        <w:ind w:firstLine="709"/>
        <w:jc w:val="both"/>
        <w:rPr>
          <w:rFonts w:ascii="Times New Roman" w:hAnsi="Times New Roman"/>
          <w:sz w:val="24"/>
          <w:szCs w:val="24"/>
        </w:rPr>
      </w:pPr>
      <w:r>
        <w:rPr>
          <w:rFonts w:ascii="Times New Roman" w:hAnsi="Times New Roman"/>
          <w:sz w:val="24"/>
          <w:szCs w:val="24"/>
        </w:rPr>
        <w:t>5</w:t>
      </w:r>
      <w:r w:rsidR="00174EB5" w:rsidRPr="00F06B55">
        <w:rPr>
          <w:rFonts w:ascii="Times New Roman" w:hAnsi="Times New Roman"/>
          <w:sz w:val="24"/>
          <w:szCs w:val="24"/>
        </w:rPr>
        <w:t>. Головина Л. Н. Системный подход к организации конструкторско- технологической подготовки машиностроителей. // Известия Самарского научного центра Российской академии наук. – 2012. – Том 14, № 1 (2). Стр. 693- 696.</w:t>
      </w:r>
    </w:p>
    <w:p w:rsidR="00CB2B74" w:rsidRPr="00F06B55" w:rsidRDefault="00CB2B74" w:rsidP="00F06B55">
      <w:pPr>
        <w:spacing w:after="0" w:line="240" w:lineRule="auto"/>
        <w:ind w:firstLine="709"/>
        <w:jc w:val="both"/>
        <w:rPr>
          <w:rFonts w:ascii="Times New Roman" w:hAnsi="Times New Roman"/>
          <w:sz w:val="24"/>
          <w:szCs w:val="24"/>
        </w:rPr>
      </w:pPr>
    </w:p>
    <w:sectPr w:rsidR="00CB2B74" w:rsidRPr="00F06B55" w:rsidSect="00D048B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B7"/>
    <w:rsid w:val="00174EB5"/>
    <w:rsid w:val="00395C49"/>
    <w:rsid w:val="006540A1"/>
    <w:rsid w:val="007233CE"/>
    <w:rsid w:val="00920523"/>
    <w:rsid w:val="00A1496D"/>
    <w:rsid w:val="00A605A8"/>
    <w:rsid w:val="00C213A0"/>
    <w:rsid w:val="00CB2B74"/>
    <w:rsid w:val="00D048B7"/>
    <w:rsid w:val="00DD24D7"/>
    <w:rsid w:val="00F03596"/>
    <w:rsid w:val="00F06B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0CE22-6DF5-413B-9378-34EAACAD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0A1"/>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1349</Words>
  <Characters>7691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delphi16@yandex.ru</dc:creator>
  <cp:lastModifiedBy>user</cp:lastModifiedBy>
  <cp:revision>2</cp:revision>
  <dcterms:created xsi:type="dcterms:W3CDTF">2019-06-24T12:15:00Z</dcterms:created>
  <dcterms:modified xsi:type="dcterms:W3CDTF">2019-06-24T12:15:00Z</dcterms:modified>
</cp:coreProperties>
</file>