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Образовательное учреждение высшего образования</w:t>
      </w: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«Южно-Уральский институт управления и экономики»</w:t>
      </w: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F76835" w:rsidP="00F76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835">
        <w:rPr>
          <w:rFonts w:ascii="Times New Roman" w:hAnsi="Times New Roman" w:cs="Times New Roman"/>
          <w:b/>
          <w:sz w:val="24"/>
          <w:szCs w:val="24"/>
        </w:rPr>
        <w:t>НАУЧНО–ИССЛЕДОВАТЕЛЬСКАЯ РАБОТА</w:t>
      </w:r>
    </w:p>
    <w:p w:rsidR="00F76835" w:rsidRPr="00F76835" w:rsidRDefault="00F76835" w:rsidP="00F768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4D27" w:rsidRPr="00F76835" w:rsidRDefault="00F76835" w:rsidP="00207E8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924D27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Государственно-частное партнерство в сфере культуры: проблемы практической реализации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DD2" w:rsidRPr="00F76835" w:rsidRDefault="00B55DD2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B55DD2" w:rsidP="00336B7F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Автор:  Шевцова Виктория Владимировна, студентка 2</w:t>
      </w:r>
      <w:r w:rsidR="00336B7F" w:rsidRPr="00F76835">
        <w:rPr>
          <w:rFonts w:ascii="Times New Roman" w:hAnsi="Times New Roman" w:cs="Times New Roman"/>
          <w:sz w:val="24"/>
          <w:szCs w:val="24"/>
        </w:rPr>
        <w:t xml:space="preserve"> курс</w:t>
      </w:r>
      <w:r w:rsidR="004C1BB5" w:rsidRPr="00F76835">
        <w:rPr>
          <w:rFonts w:ascii="Times New Roman" w:hAnsi="Times New Roman" w:cs="Times New Roman"/>
          <w:sz w:val="24"/>
          <w:szCs w:val="24"/>
        </w:rPr>
        <w:t>а  (направление «Дизайн</w:t>
      </w:r>
      <w:r w:rsidR="00336B7F" w:rsidRPr="00F76835">
        <w:rPr>
          <w:rFonts w:ascii="Times New Roman" w:hAnsi="Times New Roman" w:cs="Times New Roman"/>
          <w:sz w:val="24"/>
          <w:szCs w:val="24"/>
        </w:rPr>
        <w:t>»)</w:t>
      </w:r>
    </w:p>
    <w:p w:rsidR="00336B7F" w:rsidRPr="00F76835" w:rsidRDefault="00336B7F" w:rsidP="00336B7F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Научный руководитель: Нагорная М.С., к.и.н</w:t>
      </w:r>
    </w:p>
    <w:p w:rsidR="00336B7F" w:rsidRPr="00F76835" w:rsidRDefault="00336B7F" w:rsidP="00336B7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7855" w:rsidRPr="00F76835" w:rsidRDefault="008D7855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336B7F">
      <w:pPr>
        <w:tabs>
          <w:tab w:val="left" w:pos="17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Челябинск, 2018</w:t>
      </w:r>
      <w:r w:rsidRPr="00F76835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208107867"/>
      </w:sdtPr>
      <w:sdtEndPr>
        <w:rPr>
          <w:rFonts w:eastAsiaTheme="minorEastAsia"/>
          <w:lang w:eastAsia="ru-RU"/>
        </w:rPr>
      </w:sdtEndPr>
      <w:sdtContent>
        <w:p w:rsidR="00336B7F" w:rsidRPr="00F76835" w:rsidRDefault="00336B7F" w:rsidP="00F76835">
          <w:pPr>
            <w:pStyle w:val="a6"/>
            <w:spacing w:before="0" w:line="240" w:lineRule="auto"/>
            <w:ind w:firstLine="709"/>
            <w:jc w:val="both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EB5293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336B7F" w:rsidRPr="00F76835" w:rsidRDefault="00336B7F" w:rsidP="00F76835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336B7F" w:rsidRPr="00F76835" w:rsidRDefault="002C5347" w:rsidP="00F76835">
          <w:pPr>
            <w:pStyle w:val="11"/>
            <w:tabs>
              <w:tab w:val="right" w:leader="dot" w:pos="9628"/>
            </w:tabs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F768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36B7F" w:rsidRPr="00F7683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768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6691971" w:history="1">
            <w:r w:rsidR="00336B7F" w:rsidRPr="00F7683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336B7F" w:rsidRPr="00F768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CE31F3">
            <w:rPr>
              <w:rFonts w:ascii="Times New Roman" w:hAnsi="Times New Roman" w:cs="Times New Roman"/>
              <w:sz w:val="24"/>
              <w:szCs w:val="24"/>
            </w:rPr>
            <w:t>4</w:t>
          </w:r>
          <w:r w:rsidR="00207E85" w:rsidRPr="00F76835">
            <w:rPr>
              <w:rFonts w:ascii="Times New Roman" w:hAnsi="Times New Roman" w:cs="Times New Roman"/>
              <w:sz w:val="24"/>
              <w:szCs w:val="24"/>
            </w:rPr>
            <w:t xml:space="preserve"> ст.</w:t>
          </w:r>
        </w:p>
        <w:p w:rsidR="00336B7F" w:rsidRPr="00F76835" w:rsidRDefault="002C5347" w:rsidP="00F76835">
          <w:pPr>
            <w:tabs>
              <w:tab w:val="left" w:pos="1740"/>
            </w:tabs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768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36B7F" w:rsidRPr="00F76835">
            <w:rPr>
              <w:rFonts w:ascii="Times New Roman" w:hAnsi="Times New Roman" w:cs="Times New Roman"/>
              <w:sz w:val="24"/>
              <w:szCs w:val="24"/>
            </w:rPr>
            <w:instrText xml:space="preserve"> HYPERLINK \l "_Toc476691972" </w:instrText>
          </w:r>
          <w:r w:rsidRPr="00F768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36B7F" w:rsidRPr="00F76835">
            <w:rPr>
              <w:rStyle w:val="a5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="00336B7F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</w:rPr>
            <w:t>Зарубежный опыт государственно-частного партнерства в сфере культуры</w:t>
          </w:r>
        </w:p>
        <w:p w:rsidR="00336B7F" w:rsidRPr="00F76835" w:rsidRDefault="00336B7F" w:rsidP="00F76835">
          <w:pPr>
            <w:pStyle w:val="11"/>
            <w:tabs>
              <w:tab w:val="right" w:leader="dot" w:pos="9628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76835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="002C5347" w:rsidRPr="00F76835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  <w:r w:rsidR="00207E85" w:rsidRPr="00F76835">
            <w:rPr>
              <w:rFonts w:ascii="Times New Roman" w:hAnsi="Times New Roman" w:cs="Times New Roman"/>
              <w:noProof/>
              <w:sz w:val="24"/>
              <w:szCs w:val="24"/>
            </w:rPr>
            <w:t>4-12 ст.</w:t>
          </w:r>
        </w:p>
        <w:p w:rsidR="00336B7F" w:rsidRPr="00F76835" w:rsidRDefault="00336B7F" w:rsidP="00F76835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76835">
            <w:rPr>
              <w:rFonts w:ascii="Times New Roman" w:hAnsi="Times New Roman" w:cs="Times New Roman"/>
              <w:noProof/>
              <w:sz w:val="24"/>
              <w:szCs w:val="24"/>
            </w:rPr>
            <w:t xml:space="preserve">2. </w:t>
          </w:r>
          <w:r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Практика государственно-частного партнёрства в сфере сохране</w:t>
          </w:r>
          <w:r w:rsidR="004E4726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ния культурного наследия России.…………………</w:t>
          </w:r>
          <w:r w:rsidR="00031B00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……………………………………………………………………</w:t>
          </w:r>
          <w:r w:rsidR="00BE2348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13-</w:t>
          </w:r>
          <w:r w:rsidR="00031B00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19</w:t>
          </w:r>
          <w:r w:rsidR="00BE2348" w:rsidRPr="00F76835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 xml:space="preserve"> ст.</w:t>
          </w:r>
        </w:p>
        <w:p w:rsidR="00336B7F" w:rsidRPr="00F76835" w:rsidRDefault="002C5347" w:rsidP="00F76835">
          <w:pPr>
            <w:pStyle w:val="11"/>
            <w:tabs>
              <w:tab w:val="right" w:leader="dot" w:pos="9628"/>
            </w:tabs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76691980" w:history="1">
            <w:r w:rsidR="00336B7F" w:rsidRPr="00F7683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336B7F" w:rsidRPr="00F768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031B00" w:rsidRPr="00F76835">
            <w:rPr>
              <w:rFonts w:ascii="Times New Roman" w:hAnsi="Times New Roman" w:cs="Times New Roman"/>
              <w:sz w:val="24"/>
              <w:szCs w:val="24"/>
            </w:rPr>
            <w:t>20-21 ст.</w:t>
          </w:r>
        </w:p>
        <w:p w:rsidR="00336B7F" w:rsidRPr="00F76835" w:rsidRDefault="002C5347" w:rsidP="00F76835">
          <w:pPr>
            <w:pStyle w:val="11"/>
            <w:tabs>
              <w:tab w:val="right" w:leader="dot" w:pos="9628"/>
            </w:tabs>
            <w:spacing w:after="0" w:line="240" w:lineRule="auto"/>
            <w:ind w:firstLine="709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76691981" w:history="1">
            <w:r w:rsidR="00336B7F" w:rsidRPr="00F7683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336B7F" w:rsidRPr="00F7683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  <w:r w:rsidR="00B17022" w:rsidRPr="00F76835">
            <w:rPr>
              <w:rFonts w:ascii="Times New Roman" w:hAnsi="Times New Roman" w:cs="Times New Roman"/>
              <w:sz w:val="24"/>
              <w:szCs w:val="24"/>
            </w:rPr>
            <w:t>22-23 ст.</w:t>
          </w:r>
        </w:p>
        <w:p w:rsidR="00336B7F" w:rsidRPr="00F76835" w:rsidRDefault="002C5347" w:rsidP="00F76835">
          <w:pPr>
            <w:spacing w:after="0" w:line="240" w:lineRule="auto"/>
            <w:ind w:firstLine="709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F7683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207E85" w:rsidP="00F76835">
      <w:pPr>
        <w:tabs>
          <w:tab w:val="left" w:pos="60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E85" w:rsidRPr="00F76835" w:rsidRDefault="00207E85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07E85" w:rsidRDefault="00207E85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5293" w:rsidRPr="00F76835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61FD5" w:rsidRPr="00EB5293" w:rsidRDefault="00A206C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422DBF" w:rsidRPr="00F76835" w:rsidRDefault="00422DB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3BC4" w:rsidRPr="00F76835" w:rsidRDefault="001B7FF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b/>
          <w:sz w:val="24"/>
          <w:szCs w:val="24"/>
        </w:rPr>
        <w:t xml:space="preserve">Актуальность. </w:t>
      </w:r>
      <w:r w:rsidR="00422DBF" w:rsidRPr="00F76835">
        <w:rPr>
          <w:rFonts w:ascii="Times New Roman" w:hAnsi="Times New Roman" w:cs="Times New Roman"/>
          <w:sz w:val="24"/>
          <w:szCs w:val="24"/>
        </w:rPr>
        <w:t xml:space="preserve">Культурное наследие – это не только духовное послание прошлых лет, но и мощный ресурс для устойчивого развития и качества современной жизни, особенно посредством возможностей культурного туризма. 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2017 г. в Едином государственном реестре объектов культурного наследия народов РФ зарегистрировано более 36 тыс. памятников истории и культуры</w:t>
      </w:r>
      <w:r w:rsidR="009D3BC4" w:rsidRPr="00F76835">
        <w:rPr>
          <w:rStyle w:val="a7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footnoteReference w:id="2"/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Из них 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хорошем состоянии находится 14,27% объектов, в удовлетворительном – 57,06%, в неудовлетворительном – 20,7%, в аварийном – 5,88%, в руинированном – 2,09%. Тенденция утраты объектов культурного наследия удручает: </w:t>
      </w:r>
      <w:r w:rsidR="009D3BC4" w:rsidRPr="00F76835">
        <w:rPr>
          <w:rStyle w:val="a4"/>
          <w:rFonts w:ascii="Times New Roman" w:hAnsi="Times New Roman" w:cs="Times New Roman"/>
          <w:b w:val="0"/>
          <w:color w:val="000000" w:themeColor="text1"/>
          <w:sz w:val="24"/>
          <w:szCs w:val="24"/>
        </w:rPr>
        <w:t>до 150-200 объектов гибнет ежегодно</w:t>
      </w:r>
      <w:r w:rsidR="009D3BC4"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3"/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, что может привести к необратимым негативным последствиям.</w:t>
      </w:r>
    </w:p>
    <w:p w:rsidR="009D3BC4" w:rsidRPr="00F76835" w:rsidRDefault="009D3BC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Одной из возможностей сохранить культурное достояние России, накопленное веками, на наш взгляд, является использование механизмов государственно-частного партнёрства (далее – ГЧП). Основание для подобных утверждений дает п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оложительный опыт реконструкции, реставрации и строительства культурных объектов с активным привлечением частного капитала в зарубежных странах и ряде регионов России.</w:t>
      </w:r>
    </w:p>
    <w:p w:rsidR="00A504E0" w:rsidRPr="00F76835" w:rsidRDefault="00097883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Современный мировой опыт показывает важность и актуальность партнерских отношений государства и бизнеса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62DD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ля государства государственно-частное партнерство является способом привлечения частного капитала к финансированию национально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значимых проектов.</w:t>
      </w:r>
      <w:r w:rsidR="00062DD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BC4"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Весьма успешно механизмы ГЧП работают в</w:t>
      </w:r>
      <w:r w:rsidR="00062DD6"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таких 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прибыльных </w:t>
      </w:r>
      <w:r w:rsidR="008100AB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сферах бизнеса, как транспорт или жилищно-коммунальное хозяйство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, н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 сожалению, 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сфере, сохранени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объектов кул</w:t>
      </w:r>
      <w:r w:rsidR="006C45FB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ьтурного наследия, бизнес пока 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готов вкладывать деньги на взаимовыгодных с государством условиях. Депутаты и эксперты считают, что нужно </w:t>
      </w:r>
      <w:r w:rsidR="009D3BC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сформировать благоприятный климат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чтобы заинтересовать инвесторов в финансировании </w:t>
      </w:r>
      <w:r w:rsidR="001B7FF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таких </w:t>
      </w:r>
      <w:r w:rsidR="00A504E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проектов, ведь только на бюджетные деньги невозможно воссоздать былую красоту купеческих усадеб и архитектурных ансамблей.</w:t>
      </w:r>
    </w:p>
    <w:p w:rsidR="00A504E0" w:rsidRPr="00F76835" w:rsidRDefault="00A504E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Особенно актуальна проблема сохранения культурного наследия, на наш взгляд, в Челябинской области</w:t>
      </w:r>
      <w:r w:rsidR="001B7FF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где из более, чем 700 объектов, значительная часть нуждается в реконструкции, и мы считаем, что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механизмов государственно-частного партнерства, несомненно, смогло бы улучшить ситуацию</w:t>
      </w:r>
    </w:p>
    <w:p w:rsidR="00E74745" w:rsidRPr="00F76835" w:rsidRDefault="00E74745" w:rsidP="00F76835">
      <w:pPr>
        <w:spacing w:after="0" w:line="240" w:lineRule="auto"/>
        <w:ind w:firstLine="709"/>
        <w:jc w:val="both"/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Объектом 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исследования </w:t>
      </w:r>
      <w:r w:rsidR="003034B0"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</w:t>
      </w:r>
      <w:r w:rsidR="003034B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A206C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осударственно-</w:t>
      </w:r>
      <w:r w:rsidR="003034B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частное партнёрство</w:t>
      </w:r>
      <w:r w:rsidR="00062DD6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034B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сфере культуры</w:t>
      </w:r>
    </w:p>
    <w:p w:rsidR="00E74745" w:rsidRPr="00F76835" w:rsidRDefault="00E74745" w:rsidP="00F76835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t>Предмет</w:t>
      </w:r>
      <w:r w:rsidR="00062DD6"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8100AB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нормативные, институциональные и финансовые аспекты </w:t>
      </w:r>
      <w:r w:rsidR="003034B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практической реализации ГЧП в сфере культуры в России и за рубежом</w:t>
      </w:r>
      <w:r w:rsidRPr="00F7683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74745" w:rsidRPr="00F76835" w:rsidRDefault="00E74745" w:rsidP="00F76835">
      <w:pPr>
        <w:spacing w:after="0" w:line="240" w:lineRule="auto"/>
        <w:ind w:firstLine="709"/>
        <w:jc w:val="both"/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работы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062DD6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034B0" w:rsidRPr="00F76835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рассмотреть возможности Государственно-частного партнёрства в сфере культуры, выявить проблемы практической реализации в РФ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C6F28" w:rsidRPr="00F76835" w:rsidRDefault="009C6F28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Конкретизируя цель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 xml:space="preserve">в работе ставятся и решаются следующие </w:t>
      </w:r>
      <w:r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t>задачи</w:t>
      </w:r>
      <w:r w:rsidRPr="00F768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3034B0" w:rsidRPr="00F76835" w:rsidRDefault="003034B0" w:rsidP="00F7683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проанализировать Концепции и правовые основы ГЧП</w:t>
      </w:r>
      <w:r w:rsidR="001B7FF0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034B0" w:rsidRPr="00F76835" w:rsidRDefault="003034B0" w:rsidP="00F7683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изучить зарубежный опыт государственно-частного партнерства в культурной сфере</w:t>
      </w:r>
      <w:r w:rsidR="00062DD6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034B0" w:rsidRPr="00F76835" w:rsidRDefault="003034B0" w:rsidP="00F7683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</w:pPr>
      <w:r w:rsidRPr="00F7683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показать реализацию принципа государственно-частного партнерства в сфере </w:t>
      </w:r>
      <w:r w:rsidR="001B7FF0" w:rsidRPr="00F76835">
        <w:rPr>
          <w:rStyle w:val="a4"/>
          <w:rFonts w:ascii="Times New Roman" w:hAnsi="Times New Roman" w:cs="Times New Roman"/>
          <w:b w:val="0"/>
          <w:sz w:val="24"/>
          <w:szCs w:val="24"/>
        </w:rPr>
        <w:t>сохранения объектов культурного наследия</w:t>
      </w:r>
      <w:r w:rsidRPr="00F76835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в Российской Федерации,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выявить проблемы деятельности ГЧП</w:t>
      </w:r>
      <w:r w:rsidR="00062DD6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034B0" w:rsidRPr="00F76835" w:rsidRDefault="003034B0" w:rsidP="00F7683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Style w:val="a4"/>
          <w:rFonts w:ascii="Times New Roman" w:hAnsi="Times New Roman" w:cs="Times New Roman"/>
          <w:b w:val="0"/>
          <w:sz w:val="24"/>
          <w:szCs w:val="24"/>
        </w:rPr>
        <w:t>доказать, что культурные достопримечательности Челябинской области - перспективный объект ГЧП</w:t>
      </w:r>
      <w:r w:rsidR="00062DD6" w:rsidRPr="00F76835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</w:p>
    <w:p w:rsidR="00EB5293" w:rsidRDefault="00E74745" w:rsidP="00CE3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Style w:val="word"/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Методы исследования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исторический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типологический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>сравнительный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1B7FF0" w:rsidRPr="00F76835">
        <w:rPr>
          <w:rStyle w:val="word"/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источниковедческий, </w:t>
      </w:r>
      <w:r w:rsidR="001B7FF0" w:rsidRPr="00F76835">
        <w:rPr>
          <w:rFonts w:ascii="Times New Roman" w:hAnsi="Times New Roman" w:cs="Times New Roman"/>
          <w:sz w:val="24"/>
          <w:szCs w:val="24"/>
        </w:rPr>
        <w:t>приемы сравнительного исторического и межстранового анализа, экспертные суждения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B5293" w:rsidRPr="00F76835" w:rsidRDefault="00EB5293" w:rsidP="00CE31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36B7F" w:rsidRPr="00EB5293" w:rsidRDefault="00336B7F" w:rsidP="00F76835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B52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Зарубежный опыт государственно-частного партнерства в сфере культуры</w:t>
      </w:r>
    </w:p>
    <w:p w:rsidR="00336B7F" w:rsidRPr="00F76835" w:rsidRDefault="00336B7F" w:rsidP="00F76835">
      <w:pPr>
        <w:pStyle w:val="a3"/>
        <w:tabs>
          <w:tab w:val="left" w:pos="174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6B7F" w:rsidRPr="00F76835" w:rsidRDefault="00336B7F" w:rsidP="00F76835">
      <w:pPr>
        <w:pStyle w:val="Default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>В западной практике понятие государственно-частного партнерства (ГЧП) «Public-PrivatePartnership» (PPP) используется в узком смысле как инструмент привлечения бизнеса к выполнению государственных и муниципальных задач, связанных с предоставлением публичных услуг, развитием общественной инфраструктуры, осуществлением крупных и сложных проектов развития технологий. Общее понимание Public-PrivatePartnershipв международных рамках основывается на Декларации тысячелетия ООН</w:t>
      </w:r>
      <w:r w:rsidRPr="00F76835">
        <w:rPr>
          <w:rStyle w:val="a7"/>
          <w:color w:val="000000" w:themeColor="text1"/>
        </w:rPr>
        <w:footnoteReference w:id="4"/>
      </w:r>
      <w:r w:rsidRPr="00F76835">
        <w:rPr>
          <w:color w:val="000000" w:themeColor="text1"/>
        </w:rPr>
        <w:t xml:space="preserve">, принятой в 2000 г., и подтвержденной на Монтерейском консенсусе </w:t>
      </w:r>
      <w:r w:rsidRPr="00F76835">
        <w:rPr>
          <w:bCs/>
          <w:color w:val="000000" w:themeColor="text1"/>
        </w:rPr>
        <w:t>Международной конференции по финансированию развития</w:t>
      </w:r>
      <w:r w:rsidRPr="00F76835">
        <w:rPr>
          <w:color w:val="000000" w:themeColor="text1"/>
        </w:rPr>
        <w:t>2002 г., в соответствии с которыми цель ГЧП – осуществление общественно-значимых проектов, а именно: финансирование, строительство, модернизация, управление, эксплуатация инфраструктурных объектов и оказание социальных услуг.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Зарубежный опыт реализации проектов с применением механизмов взаимодействия государства и частного бизнеса работает уже длительное время и постоянно совершенствуется. Безусловными лидерами по количеству соглашений ГЧП в Европе являются Великобритания – 39%, Франция – 17%, Германия – 13%, Испания – 12%, доля прочих стран состав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ляет 19%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5"/>
      </w:r>
      <w:r w:rsidRPr="00F76835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Первое место Великобритании обуславливается</w:t>
      </w:r>
      <w:r w:rsidR="004B5DA9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фактором первопроходца, она первая исполь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зовала механизм партнерства бизнеса и государства. Рассматривая историю развития ГЧП в Великобритании, стоит отметить, что первые проекты появились в 1981 г. в связи с перестройкой лондонских</w:t>
      </w:r>
      <w:r w:rsidR="00176E91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доков, в 1992 г. правительство Дж. Мейджора объявило о новой форме ГЧП – «Частная финансовая инициатива» (PFI – РrivateFinanceInitiative), заключающейся в том, чтобы передать частному сектору функции финансирования строительства (экс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плуатации, реконструкции, управления и т.п.) государственных объектов производ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ственной и социальной сферы. 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Важным аспектом в реализации проектов ГЧП</w:t>
      </w:r>
      <w:r w:rsidR="004E4726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за рубежом, на наш взгляд, является создание нормативно-правового поля.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1992 г. появилась первая директива Европейского союза (ЕС), в которой формулировались правила и процедуры по предоставлению контрактов частным компаниям в сфере общественных услуг;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1993 г. были опубликованы директивы ЕС, связанные с предоставлением прав частному сектору в некоторых отраслях, составлявших государственную монополию;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часть вопросов, касающихся ГЧП, затрагивалась в нормативных актах ЕС по либерализации отдельных отраслевых рынков: электроэнергии, газа, железных дорог; в 2004 г. была выпущена Зелёная книга “Государственно-частное партнёрство и законодательство сообщества по государственным контрактам и концессиям”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6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, в которой была сделана попытка обобщить подходы государств – членов ЕС к ГЧП: терминологии, особенностям законодательства, используемым механизмам.</w:t>
      </w:r>
    </w:p>
    <w:p w:rsidR="00336B7F" w:rsidRPr="00F76835" w:rsidRDefault="00336B7F" w:rsidP="00F76835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наш взгляд, важным фактором успешности реализации проекта ГЧП</w:t>
      </w:r>
      <w:r w:rsidR="00F9717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выбор модели сотрудничества власти и бизнеса. Всемирный банк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TheWorldBank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 предложил следующую классификацию моделей ГЧП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7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6330C" w:rsidRPr="00F76835" w:rsidRDefault="00A6330C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83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62675" cy="4667250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36B7F" w:rsidRPr="00F76835" w:rsidRDefault="00207E85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1.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Классификация моделей ГЧП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действующими моделями ГЧП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за рубежом являются контракты на управление и аренду, концессии, проекты с чистого листа и передача активов.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Контракты на управление и аренду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ManagementandLeaseContracts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)подразумевают, что частная компания получает в управление или на условиях аренды принадлежащую государству собственность на определенный период времени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за арендную плату, операционный риск ложится на частную компанию,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инвестиции осуществляет государство. Концессии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Concessions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 –соглашение</w:t>
      </w:r>
      <w:r w:rsidR="00924D27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заключаемое между государством и частным бизнесом, особенность которого заключается в том, что государство остается полноправным владельцем собственности, но при этом обязует частного партнера в течении определенного времени выполнять функции, оговоренные в соглашение, при этом наделяя бизнес соответствующими правами. Проекты с чистого листа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GreenfieldProjects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предполагают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новое строительство под руководством государства и при активном участии частных фирм.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Передача активов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Divestitures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)– частная компания приобретает часть пакета акций предприятия, находящегося в государственной/муниципальной собственности,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управление предприятием может переходить к частной компании либо оставаться за государством.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6835">
        <w:rPr>
          <w:rFonts w:ascii="Times New Roman" w:hAnsi="Times New Roman" w:cs="Times New Roman"/>
          <w:sz w:val="24"/>
          <w:szCs w:val="24"/>
        </w:rPr>
        <w:lastRenderedPageBreak/>
        <w:t>Приоритетная отрасль, которая выбирается для привлечения в нее инвестиций с помощью ГЧП, зависит от социально-экономического уровня развития страны и реализуемой политики государства.</w:t>
      </w:r>
      <w:r w:rsidR="004E4726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Анализ 915 случайно выбранных проектов ГЧП в государствах с различным уровнем развития экономики показал, что в странах “Большой семерки” на 1-м месте находится сфера здравоохранения (184 из 615 проектов, или 29,92 %), на втором месте расположилась сфера образования – (138 проектов), на третьем автодороги –(92 проекта). Исследование ГЧП в отдельных странах продемонстрировало, что в каждой стране свои приоритеты: в США это автодороги (32 из 36 проектов), в Великобритании – здравоохранение (123 из 352) и образование (113 из 352), в </w:t>
      </w:r>
      <w:hyperlink r:id="rId12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Германии</w:t>
        </w:r>
      </w:hyperlink>
      <w:r w:rsidRPr="00F76835">
        <w:rPr>
          <w:rFonts w:ascii="Times New Roman" w:hAnsi="Times New Roman" w:cs="Times New Roman"/>
          <w:sz w:val="24"/>
          <w:szCs w:val="24"/>
        </w:rPr>
        <w:t> – образование (24 из 56), в Италии, Канаде и Франции – здравоохранение</w:t>
      </w:r>
      <w:r w:rsidRPr="00F76835">
        <w:rPr>
          <w:rStyle w:val="a7"/>
          <w:rFonts w:ascii="Times New Roman" w:hAnsi="Times New Roman"/>
          <w:sz w:val="24"/>
          <w:szCs w:val="24"/>
        </w:rPr>
        <w:footnoteReference w:id="8"/>
      </w:r>
      <w:r w:rsidR="00924D27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36B7F" w:rsidRPr="00F76835" w:rsidRDefault="00336B7F" w:rsidP="00F76835">
      <w:pPr>
        <w:pStyle w:val="Default"/>
        <w:ind w:right="0" w:firstLine="709"/>
        <w:rPr>
          <w:iCs/>
          <w:color w:val="000000" w:themeColor="text1"/>
          <w:spacing w:val="4"/>
        </w:rPr>
      </w:pPr>
      <w:r w:rsidRPr="00F76835">
        <w:rPr>
          <w:color w:val="000000" w:themeColor="text1"/>
        </w:rPr>
        <w:t xml:space="preserve">Сфера культуры </w:t>
      </w:r>
      <w:r w:rsidRPr="00F76835">
        <w:rPr>
          <w:iCs/>
          <w:color w:val="000000" w:themeColor="text1"/>
          <w:spacing w:val="4"/>
        </w:rPr>
        <w:t xml:space="preserve">в западных странах рассматривается в качестве одного из важных секторов экономики </w:t>
      </w:r>
      <w:r w:rsidRPr="00F76835">
        <w:rPr>
          <w:color w:val="000000" w:themeColor="text1"/>
        </w:rPr>
        <w:t>–</w:t>
      </w:r>
      <w:r w:rsidRPr="00F76835">
        <w:rPr>
          <w:iCs/>
          <w:color w:val="000000" w:themeColor="text1"/>
          <w:spacing w:val="4"/>
        </w:rPr>
        <w:t>cultural (creative) industries (креативная экономика). Согласно данным Всемирного банка, доля творческой экономики составляет около 7% мирового ВВП. Согласно данным ООН, годовой прирост креативной экономики составляет не менее 8,7%. В России доля этого сектора составляет 6% ВВП, в США в два раза больше</w:t>
      </w:r>
      <w:r w:rsidRPr="00F76835">
        <w:rPr>
          <w:rStyle w:val="a7"/>
          <w:iCs/>
          <w:color w:val="000000" w:themeColor="text1"/>
          <w:spacing w:val="4"/>
        </w:rPr>
        <w:footnoteReference w:id="9"/>
      </w:r>
      <w:r w:rsidRPr="00F76835">
        <w:rPr>
          <w:iCs/>
          <w:color w:val="000000" w:themeColor="text1"/>
          <w:spacing w:val="4"/>
        </w:rPr>
        <w:t xml:space="preserve"> [4]. Существует множество успешно реализованных проектов в данной сфере: строительство и реконструкция Эйфелевой башни,</w:t>
      </w:r>
      <w:r w:rsidRPr="00F76835">
        <w:rPr>
          <w:color w:val="000000" w:themeColor="text1"/>
        </w:rPr>
        <w:t xml:space="preserve"> Бруклинского моста, реставрация </w:t>
      </w:r>
      <w:hyperlink r:id="rId13" w:tooltip="Колизей в Риме" w:history="1">
        <w:r w:rsidRPr="00F76835">
          <w:rPr>
            <w:color w:val="000000" w:themeColor="text1"/>
            <w:spacing w:val="15"/>
          </w:rPr>
          <w:t>Колизея</w:t>
        </w:r>
      </w:hyperlink>
      <w:r w:rsidRPr="00F76835">
        <w:rPr>
          <w:color w:val="000000" w:themeColor="text1"/>
        </w:rPr>
        <w:t xml:space="preserve"> (финансируется производителем обуви Tod’s), </w:t>
      </w:r>
      <w:hyperlink r:id="rId14" w:tooltip="Фонтан Треви в Риме" w:history="1">
        <w:r w:rsidRPr="00F76835">
          <w:rPr>
            <w:color w:val="000000" w:themeColor="text1"/>
            <w:spacing w:val="15"/>
          </w:rPr>
          <w:t>фонтана Треви</w:t>
        </w:r>
      </w:hyperlink>
      <w:r w:rsidRPr="00F76835">
        <w:rPr>
          <w:color w:val="000000" w:themeColor="text1"/>
        </w:rPr>
        <w:t xml:space="preserve"> (частный инвестор –</w:t>
      </w:r>
      <w:hyperlink r:id="rId15" w:history="1">
        <w:r w:rsidRPr="00F76835">
          <w:rPr>
            <w:color w:val="000000" w:themeColor="text1"/>
            <w:spacing w:val="15"/>
          </w:rPr>
          <w:t>дом высокой моды Fendi</w:t>
        </w:r>
      </w:hyperlink>
      <w:r w:rsidRPr="00F76835">
        <w:rPr>
          <w:color w:val="000000" w:themeColor="text1"/>
        </w:rPr>
        <w:t xml:space="preserve">), </w:t>
      </w:r>
      <w:r w:rsidRPr="00F76835">
        <w:rPr>
          <w:bCs/>
          <w:color w:val="000000" w:themeColor="text1"/>
        </w:rPr>
        <w:t xml:space="preserve">Геркуланума, </w:t>
      </w:r>
      <w:r w:rsidRPr="00F76835">
        <w:rPr>
          <w:iCs/>
          <w:color w:val="000000" w:themeColor="text1"/>
          <w:spacing w:val="4"/>
        </w:rPr>
        <w:t>к сожалению, кроме упоминания развернутых данных по этим проектам нет.</w:t>
      </w:r>
    </w:p>
    <w:p w:rsidR="00336B7F" w:rsidRPr="00F76835" w:rsidRDefault="00336B7F" w:rsidP="00F76835">
      <w:pPr>
        <w:pStyle w:val="Default"/>
        <w:ind w:right="0" w:firstLine="709"/>
        <w:rPr>
          <w:rFonts w:eastAsia="Times New Roman"/>
          <w:bCs/>
          <w:color w:val="000000" w:themeColor="text1"/>
        </w:rPr>
      </w:pPr>
      <w:r w:rsidRPr="00F76835">
        <w:rPr>
          <w:iCs/>
          <w:color w:val="000000" w:themeColor="text1"/>
          <w:spacing w:val="4"/>
        </w:rPr>
        <w:t xml:space="preserve">Наиболее ярким, на наш взгляд является сохранение </w:t>
      </w:r>
      <w:r w:rsidRPr="00F76835">
        <w:rPr>
          <w:bCs/>
          <w:color w:val="000000" w:themeColor="text1"/>
        </w:rPr>
        <w:t>объекта</w:t>
      </w:r>
      <w:r w:rsidRPr="00F76835">
        <w:rPr>
          <w:color w:val="000000" w:themeColor="text1"/>
        </w:rPr>
        <w:t xml:space="preserve"> Всемирного </w:t>
      </w:r>
      <w:r w:rsidRPr="00F76835">
        <w:rPr>
          <w:bCs/>
          <w:color w:val="000000" w:themeColor="text1"/>
        </w:rPr>
        <w:t>наследия</w:t>
      </w:r>
      <w:r w:rsidRPr="00F76835">
        <w:rPr>
          <w:color w:val="000000" w:themeColor="text1"/>
        </w:rPr>
        <w:t xml:space="preserve"> археологического резервата</w:t>
      </w:r>
      <w:r w:rsidR="004E4726" w:rsidRPr="00F76835">
        <w:rPr>
          <w:color w:val="000000" w:themeColor="text1"/>
        </w:rPr>
        <w:t xml:space="preserve"> </w:t>
      </w:r>
      <w:r w:rsidRPr="00F76835">
        <w:rPr>
          <w:bCs/>
          <w:color w:val="000000" w:themeColor="text1"/>
        </w:rPr>
        <w:t xml:space="preserve">Помпеи. </w:t>
      </w:r>
      <w:r w:rsidRPr="00F76835">
        <w:rPr>
          <w:color w:val="000000" w:themeColor="text1"/>
        </w:rPr>
        <w:t xml:space="preserve">Ориентировочная стоимость долгосрочного проекта реконструкции – 140 млн. долларов, часть суммы была перечислена из средств Евросоюза, часть из бюджета Италии, </w:t>
      </w:r>
      <w:hyperlink r:id="rId16" w:tooltip="Италия сменила премьер-министра" w:history="1">
        <w:r w:rsidRPr="00F76835">
          <w:rPr>
            <w:rFonts w:eastAsia="Times New Roman"/>
            <w:color w:val="000000" w:themeColor="text1"/>
            <w:spacing w:val="15"/>
          </w:rPr>
          <w:t>премьер-министр Италии</w:t>
        </w:r>
      </w:hyperlink>
      <w:r w:rsidR="004E4726" w:rsidRPr="00F76835">
        <w:t xml:space="preserve"> </w:t>
      </w:r>
      <w:r w:rsidRPr="00F76835">
        <w:rPr>
          <w:rFonts w:eastAsia="Times New Roman"/>
          <w:color w:val="000000" w:themeColor="text1"/>
        </w:rPr>
        <w:t>Маттео</w:t>
      </w:r>
      <w:r w:rsidR="004E4726" w:rsidRPr="00F76835">
        <w:rPr>
          <w:rFonts w:eastAsia="Times New Roman"/>
          <w:color w:val="000000" w:themeColor="text1"/>
        </w:rPr>
        <w:t xml:space="preserve"> </w:t>
      </w:r>
      <w:r w:rsidRPr="00F76835">
        <w:rPr>
          <w:rFonts w:eastAsia="Times New Roman"/>
          <w:color w:val="000000" w:themeColor="text1"/>
        </w:rPr>
        <w:t>Ренци (MatteoRenzi) призвал местных бизнесменов вложить средства в восстановление</w:t>
      </w:r>
      <w:r w:rsidR="004E4726" w:rsidRPr="00F76835">
        <w:rPr>
          <w:rFonts w:eastAsia="Times New Roman"/>
          <w:color w:val="000000" w:themeColor="text1"/>
        </w:rPr>
        <w:t xml:space="preserve"> </w:t>
      </w:r>
      <w:r w:rsidRPr="00F76835">
        <w:rPr>
          <w:rFonts w:eastAsia="Times New Roman"/>
          <w:color w:val="000000" w:themeColor="text1"/>
        </w:rPr>
        <w:t xml:space="preserve">Помпеи: </w:t>
      </w:r>
      <w:r w:rsidRPr="00F76835">
        <w:rPr>
          <w:rFonts w:eastAsia="Times New Roman"/>
          <w:bCs/>
          <w:color w:val="000000" w:themeColor="text1"/>
        </w:rPr>
        <w:t>«Италия – культурна страна. И поэтому я взываю к бизнесменам. Чего вы ждете? Идеологические соображения насчет невозможности частного финансирования культурных объектов должны быть исключены».</w:t>
      </w:r>
    </w:p>
    <w:p w:rsidR="00336B7F" w:rsidRPr="00CE31F3" w:rsidRDefault="00336B7F" w:rsidP="00CE3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Благодаря ГЧП уже восстановлены: древняя канализационная сеть </w:t>
      </w:r>
      <w:r w:rsidRPr="00F768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(688.000€),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80% кровли(505.000€), подъездные пути (1.700.000€), выделены средства для обслуживания (421.000</w:t>
      </w:r>
      <w:r w:rsidRPr="00F768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€)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CE31F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2504384</wp:posOffset>
            </wp:positionH>
            <wp:positionV relativeFrom="paragraph">
              <wp:posOffset>-408592</wp:posOffset>
            </wp:positionV>
            <wp:extent cx="1802465" cy="2200589"/>
            <wp:effectExtent l="19050" t="0" r="7285" b="0"/>
            <wp:wrapNone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/>
                    </a:blip>
                    <a:srcRect l="57010"/>
                    <a:stretch/>
                  </pic:blipFill>
                  <pic:spPr bwMode="auto">
                    <a:xfrm>
                      <a:off x="0" y="0"/>
                      <a:ext cx="1802391" cy="22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447675</wp:posOffset>
            </wp:positionH>
            <wp:positionV relativeFrom="paragraph">
              <wp:posOffset>-408940</wp:posOffset>
            </wp:positionV>
            <wp:extent cx="2058035" cy="2200275"/>
            <wp:effectExtent l="19050" t="0" r="0" b="0"/>
            <wp:wrapNone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/>
                    </a:blip>
                    <a:srcRect l="38041" t="2653" b="15066"/>
                    <a:stretch/>
                  </pic:blipFill>
                  <pic:spPr bwMode="auto">
                    <a:xfrm>
                      <a:off x="0" y="0"/>
                      <a:ext cx="20580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6B7F" w:rsidRPr="00F76835" w:rsidRDefault="00207E85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 xml:space="preserve">Рисунки 2. </w:t>
      </w:r>
      <w:r w:rsidR="00336B7F" w:rsidRPr="00F76835">
        <w:rPr>
          <w:rFonts w:ascii="Times New Roman" w:hAnsi="Times New Roman" w:cs="Times New Roman"/>
          <w:sz w:val="24"/>
          <w:szCs w:val="24"/>
        </w:rPr>
        <w:t>Процесс реставрации, Помпеи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Благодаря ГЧП совместными усилиями предотвращена гибель выдающегося памятника древности, не имеющего аналогов в мире, Генеральный директор ЮНЕСКО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Ирина Бокова отметила: «только усилия, предпринимаемые в тесном сотрудничестве с местными органами власти и бизнес-сообществами позволили сохранить уникальный культурный объект»</w:t>
      </w:r>
    </w:p>
    <w:p w:rsidR="00336B7F" w:rsidRPr="00F76835" w:rsidRDefault="00336B7F" w:rsidP="00F76835">
      <w:pPr>
        <w:pStyle w:val="Default"/>
        <w:ind w:right="0" w:firstLine="709"/>
        <w:rPr>
          <w:iCs/>
          <w:color w:val="000000" w:themeColor="text1"/>
          <w:spacing w:val="4"/>
        </w:rPr>
      </w:pPr>
      <w:r w:rsidRPr="00F76835">
        <w:rPr>
          <w:iCs/>
          <w:color w:val="000000" w:themeColor="text1"/>
          <w:spacing w:val="4"/>
        </w:rPr>
        <w:t>В данной статье мы хотим рассмотреть проекты ГЧП в сфере культуры, реализуемые не только в Европе и США, но и в странах Африки, Ближнего Востока.</w:t>
      </w:r>
    </w:p>
    <w:p w:rsidR="00336B7F" w:rsidRPr="00F76835" w:rsidRDefault="00336B7F" w:rsidP="00F76835">
      <w:pPr>
        <w:pStyle w:val="Default"/>
        <w:ind w:right="0" w:firstLine="709"/>
        <w:rPr>
          <w:iCs/>
          <w:color w:val="000000" w:themeColor="text1"/>
          <w:spacing w:val="4"/>
        </w:rPr>
      </w:pPr>
      <w:r w:rsidRPr="00F76835">
        <w:rPr>
          <w:iCs/>
          <w:color w:val="000000" w:themeColor="text1"/>
          <w:spacing w:val="4"/>
        </w:rPr>
        <w:tab/>
        <w:t>Ярким примером успешно реализованного проекта ГЧП является реконструкция</w:t>
      </w:r>
    </w:p>
    <w:p w:rsidR="00336B7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древнего города Дарб аль-Ахмара и парка Аль-Азхар в Каире (Египет), позволившая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оживить один из самых бедных и наиболее проблемных районов города и привлечь миллионы туристов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36B7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начала строительства на месте будущего парка была городская свалка мусора -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30 гектар (74 акра)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существовавшая более 500 лет.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Соглашение о партнерстве между государственным и частным секторами предусматривало, что Правительство Каира предоставляет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AgaKhanTrustforCulture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возможность реконструировать, 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правлять и эксплуатировать парк "Азхар" на 25 лет, с правом пересматривать соглашение каждые пять лет. ГЧП рассчитывало, что доходы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 продажи билетов, пунктов питания, торговли сувенирами будут разделены 50/50 между KhanTrustforCulture и губернаторством. </w:t>
      </w:r>
    </w:p>
    <w:p w:rsidR="00336B7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После реконструкции парк стал «зелёными лёгкими» и одной из главных достопримечательностей Каира: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655 тысяч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растений и деревьев, озера и три пресноводных искусственных водоема, которые обеспечивают Каир чистой водой; музей, ресторан и кафе, площадка для детей, игровые поля, амфитеатр и сцена;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сады парка украшены колоннами, фонтаны инкрустированы разноцветной каменной кладкой в стиле мамлюков и в исламском стиле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вот неполный перечень восстановленных объектов. 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b/>
          <w:noProof/>
          <w:color w:val="000000" w:themeColor="text1"/>
          <w:spacing w:val="4"/>
          <w:sz w:val="24"/>
          <w:szCs w:val="24"/>
        </w:rPr>
        <w:drawing>
          <wp:inline distT="0" distB="0" distL="0" distR="0">
            <wp:extent cx="2723345" cy="1532854"/>
            <wp:effectExtent l="0" t="0" r="0" b="0"/>
            <wp:docPr id="23" name="Рисунок 23" descr="\\edu.local\public\studenthomes\16100254\Desktop\39869133_3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u.local\public\studenthomes\16100254\Desktop\39869133_303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94" cy="155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E85" w:rsidRPr="00F76835">
        <w:rPr>
          <w:rFonts w:ascii="Times New Roman" w:hAnsi="Times New Roman" w:cs="Times New Roman"/>
          <w:b/>
          <w:noProof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b/>
          <w:noProof/>
          <w:color w:val="000000" w:themeColor="text1"/>
          <w:spacing w:val="4"/>
          <w:sz w:val="24"/>
          <w:szCs w:val="24"/>
        </w:rPr>
        <w:drawing>
          <wp:inline distT="0" distB="0" distL="0" distR="0">
            <wp:extent cx="2508150" cy="1506783"/>
            <wp:effectExtent l="0" t="0" r="6985" b="0"/>
            <wp:docPr id="26" name="Рисунок 26" descr="\\edu.local\public\studenthomes\16100254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u.local\public\studenthomes\16100254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50" cy="150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26" w:rsidRPr="00F76835" w:rsidRDefault="00207E85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Рисунки 3. 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Парк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Аль-Азхар, Каир</w:t>
      </w:r>
    </w:p>
    <w:p w:rsidR="00336B7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Проект в размере 30 млн. долл. США стал катализатором позитивных изменений. Часть доходов от Аль-Азхара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AgaKhanTrustforCulture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выделил на новый проект ГЧП – реставрацию Дарб аль-Ахмар (Старый Каир), уже восстановлены ворота Фатимида, стены Айюбида, мечеть Мамлюка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4E47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богатый массив памятников, свидетельствующих о тысячелетней истории Египта.</w:t>
      </w:r>
    </w:p>
    <w:p w:rsidR="004E4726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5295" cy="1838323"/>
            <wp:effectExtent l="0" t="0" r="8255" b="0"/>
            <wp:docPr id="8" name="Рисунок 1" descr="История, Мамелюки, Мамлюки, Мамлюки в Египте, Мамлюки черкесы, Правители Египта, Черкесские мамлюки, Эмиры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, Мамелюки, Мамлюки, Мамлюки в Египте, Мамлюки черкесы, Правители Египта, Черкесские мамлюки, Эмиры,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3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E85"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5610" cy="1856699"/>
            <wp:effectExtent l="0" t="0" r="8890" b="0"/>
            <wp:docPr id="9" name="Рисунок 4" descr="https://upload.wikimedia.org/wikipedia/commons/9/97/Flickr_-_Bakar_88_-_F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7/Flickr_-_Bakar_88_-_Fenc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85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E85"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837690"/>
            <wp:effectExtent l="0" t="0" r="0" b="0"/>
            <wp:docPr id="10" name="Рисунок 7" descr="http://ic.pics.livejournal.com/sibirjk61/68817582/439771/43977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sibirjk61/68817582/439771/439771_1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87" cy="185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26" w:rsidRPr="00F76835" w:rsidRDefault="004E4726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Рисунки 4</w:t>
      </w:r>
      <w:r w:rsidR="00BE2348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Мечеть Мамлюка,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ворота Фатимида, стены Айюбида, Каир</w:t>
      </w:r>
    </w:p>
    <w:p w:rsidR="00924D27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Проект ГЧП предусматривал помимо восстановления памятников и общественных пространств поддержку социально-экономических инициатив населения, программы в области здравоохранения и образования, восстановление жилья, микрокредитование и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профессиональную подготовку: обучение прошли 175 местных мастеров, 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воссозданы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два здания, в которых сейчас ведется художественная и музыкальная подготовка 400 детей, восстановлены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три общественных открытых пространства, 121 дом,заасфальтировано5500</w:t>
      </w:r>
      <m:oMath>
        <m:sSup>
          <m:sSup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улиц, смонтировано 3,1 км подземной канализации, созданоболее 1100 рабочих мест.</w:t>
      </w:r>
    </w:p>
    <w:p w:rsidR="00422DB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b/>
          <w:noProof/>
          <w:vanish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10935" cy="4090936"/>
            <wp:effectExtent l="0" t="0" r="0" b="0"/>
            <wp:docPr id="15" name="Рисунок 15" descr="https://barakahweb.files.wordpress.com/2017/07/al-azhar-park-cairo1.jp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rakahweb.files.wordpress.com/2017/07/al-azhar-park-cairo1.jpg?w=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Еще один успешный проект ГЧП был реализован в Кабуле (Афганистан) – реставрация Старого города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паркового комплекса Баге Бабур.В процессе реконструкции парка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были исследованы и восстановлены из аутентичных материалов внешние стены, высажены новые деревья (вишня, кипарис и гранат), отреставрирован королевский дворец, возведены террасы и дорожки согласно первоначальному плану Бабура, отреставрированы или построены заново многие другие исторические здания, что привлекло в Баге-Бабурмножество посетителей.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проекта частный партнер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привлек более 700 миллионов долларов США для экономического и социального развития Афганистана,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ГЧП</w:t>
      </w:r>
      <w:r w:rsidR="009C718C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предоставило населению Кабула рекреацию для отдыха, культурных мероприятий и, что еще важнее, место для социализации,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которое позволяет многим афганцам получить надежду на лучшее </w:t>
      </w:r>
      <w:r w:rsidR="00924D27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будущее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C45FB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1913890"/>
            <wp:effectExtent l="0" t="0" r="0" b="0"/>
            <wp:docPr id="3" name="Рисунок 1" descr="https://archnet.org/system/media_contents/contents/76234/medium/IMG42133.jpg?138473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net.org/system/media_contents/contents/76234/medium/IMG42133.jpg?138473497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72" cy="19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18C"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1907540"/>
            <wp:effectExtent l="0" t="0" r="0" b="0"/>
            <wp:docPr id="6" name="Рисунок 4" descr="http://www.etoretro.ru/data/media/4034/138386355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toretro.ru/data/media/4034/1383863558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02" cy="19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8C" w:rsidRPr="00F76835" w:rsidRDefault="00BE2348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Рисунки 5. Г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ород </w:t>
      </w:r>
      <w:r w:rsidR="006C45FB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Баге Бабур, Афганиста</w:t>
      </w:r>
    </w:p>
    <w:p w:rsidR="00227124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Реконструированный Баге Бабур начал свою деятельность в 2007 г.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наблюдается устойчивый рост числа посетителей, через три года объект вышел на самоокупаемость и стал приносить прибыль–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2012 г.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сад посетили более 400 000 человек, что позволило получить доход в размере 39 000 долларов США. Данный проект, зародившись как пилотный в Афганистане, сегодня является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моделью успешного ГЧП в других регионах страны.</w:t>
      </w:r>
    </w:p>
    <w:p w:rsidR="00336B7F" w:rsidRPr="00F76835" w:rsidRDefault="00336B7F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Сохранение мавзолея Тимура Шаха X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VIII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века – еще один успешно реализованный проект ГЧП, включающий в себя восстановление исторической достопримечательности в торговом центре города, подготовку афганских специалистов и ремесленников и мелиорацию большого сада вокруг объекта культурного наследия.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Главным в проекте помимо реконструкции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стала реализация масштабной стратегии по повышению качества жизни жителей и восстановлению города, это целый ряд природоохранных мероприятий, мер по улучшению условий жизни населения, программы развития общин, профессиональной подготовки и переподготовки, модернизация улиц и поддержка инициатив в области планирования, а также обучение грамотности женщин.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Доходы первоначального проекта активно используются для покрытия расходов на модернизацию различных районов города.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сегодняшний день побочными результатами проекта ГЧП стали: ремонт и новая постройка 7.5 км подземных и поверхностных стоков; заасфальтированы более 22 000 </w:t>
      </w:r>
      <m:oMath>
        <m:sSup>
          <m:sSupPr>
            <m:ctrl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пешеходных дорожек и улиц; восстановлено11 домов, 15 общественных зданий и 2 открытых общественных места; более 30 000 жителей получили работу; более 150 молодых мужчин, приняв участие в качестве плотников, каменщиков и штукатурщиков, работая рядом с высококвалифицированными афганскими мастерами, прошли переподготовку или повысили свою квалификацию.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657475" cy="1994082"/>
            <wp:effectExtent l="0" t="0" r="0" b="6350"/>
            <wp:docPr id="22" name="Рисунок 22" descr="\\edu.local\public\studenthomes\16100254\Desktop\2012-10-Afghanista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u.local\public\studenthomes\16100254\Desktop\2012-10-Afghanistan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58" cy="19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348" w:rsidRPr="00F76835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00250" cy="2000250"/>
            <wp:effectExtent l="0" t="0" r="0" b="0"/>
            <wp:docPr id="19" name="Рисунок 19" descr="\\edu.local\public\studenthomes\16100254\Desktop\IMG1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u.local\public\studenthomes\16100254\Desktop\IMG128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7F" w:rsidRPr="00F76835" w:rsidRDefault="00F9717D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Рисунки 6</w:t>
      </w:r>
      <w:r w:rsidR="00BE2348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36B7F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Мавзолей Тимура Шаха XVIII века,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Афганистан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Реставрация Национального парка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Бауле в Мали – еще один проект ГЧП по сохранению культурного наследия, успешно реализованный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KhanTrustforCulture.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ходе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реализации проекта удалось сохранить оазис в безжизненной пустыне, спасти от разрушения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археологические памятники эпохи палеолита.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миссией KhanTrustforCulture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парк без долгосрочного плана по содержанию и развитию мог стать просто обузой для государства, KhanTrustforCulture подписал 25-летнее соглашение с Министерством культуры Мали и Министерством охраны окружающей среды, в котором изложена стратегия развития Национального парка Мали. После реконструкции парк был открыт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2012 г., с того времени уже более чем 420,000 человек посетили его. В парке, объединяющем Национальный музей и Ботанический сад в единое культурно-экологическое пространство, можно понаблюдать за птицами и животными в естественной среде, там же проходят занятия фитнесом, можно покататься на велосипеде и полазать по горам, в парке проводятся познавательные экскурсии для школьников и туристов.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noProof/>
          <w:color w:val="202020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202020"/>
          <w:sz w:val="24"/>
          <w:szCs w:val="24"/>
        </w:rPr>
        <w:drawing>
          <wp:inline distT="0" distB="0" distL="0" distR="0">
            <wp:extent cx="2666253" cy="1581150"/>
            <wp:effectExtent l="0" t="0" r="1270" b="0"/>
            <wp:docPr id="4" name="fancybox-img" descr="Национальный Парк Бауле, М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Национальный Парк Бауле, Ма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046"/>
                    <a:stretch/>
                  </pic:blipFill>
                  <pic:spPr bwMode="auto">
                    <a:xfrm>
                      <a:off x="0" y="0"/>
                      <a:ext cx="2669718" cy="15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E2348" w:rsidRPr="00F76835">
        <w:rPr>
          <w:rFonts w:ascii="Times New Roman" w:hAnsi="Times New Roman" w:cs="Times New Roman"/>
          <w:noProof/>
          <w:color w:val="202020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noProof/>
          <w:color w:val="202020"/>
          <w:sz w:val="24"/>
          <w:szCs w:val="24"/>
        </w:rPr>
        <w:drawing>
          <wp:inline distT="0" distB="0" distL="0" distR="0">
            <wp:extent cx="2451633" cy="1581150"/>
            <wp:effectExtent l="0" t="0" r="6350" b="0"/>
            <wp:docPr id="16" name="fancybox-img" descr="Национальный Парк Бауле, М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Национальный Парк Бауле, Ма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709"/>
                    <a:stretch/>
                  </pic:blipFill>
                  <pic:spPr bwMode="auto">
                    <a:xfrm>
                      <a:off x="0" y="0"/>
                      <a:ext cx="2469057" cy="15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6B7F" w:rsidRPr="00F76835" w:rsidRDefault="00F9717D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Рисунки</w:t>
      </w:r>
      <w:r w:rsidR="00BE2348"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7. </w:t>
      </w:r>
      <w:r w:rsidR="00336B7F"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Национальный парк Бауле, Мали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2006 г. Фондом был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подписал контракт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ГЧП с Министерством культуры Мали сроком на пять лет для восстановления Великих мечетей Дженне и Мопти и мечети Джингарей-бер в Тимбукту. После завершения реставрации Великой мечети Мопти в 2006 г. KhanTrustforCultureо осуществил программу восстановления Мали, которая направлена на повышение качества городской среды и уровня жизни жителей, проживающих в окрестностях мечети.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осуществления проекта ГЧП</w:t>
      </w:r>
      <w:r w:rsidR="009C718C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построено 1 общественное здание, заасфальтировано 4675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bi"/>
              </m:r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дорог, отремонтировано 1,235 м подземных стоков, засажено200</w:t>
      </w:r>
      <m:oMath>
        <m:sSup>
          <m:sSupPr>
            <m:ctrlPr>
              <w:rPr>
                <w:rFonts w:ascii="Cambria Math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bi"/>
              </m:r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m:t>м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открытого пространства, к реализации проекта привлечено более 3000 человек в качестве обслуживающего персонала, 320 неквалифицированных рабочих обучены кладке кирпича и плитки.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  <w:highlight w:val="yellow"/>
        </w:rPr>
      </w:pPr>
      <w:r w:rsidRPr="00F768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1250" cy="1784176"/>
            <wp:effectExtent l="0" t="0" r="0" b="6985"/>
            <wp:docPr id="321" name="Рисунок 321" descr="Мечеть Дженне в М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Мечеть Дженне в Мал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57" cy="179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348" w:rsidRPr="00F768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1902" cy="1768935"/>
            <wp:effectExtent l="0" t="0" r="3810" b="3175"/>
            <wp:docPr id="324" name="Рисунок 324" descr="http://www.learn.columbia.edu/mopti/jpgs/_DSC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learn.columbia.edu/mopti/jpgs/_DSC67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62" t="3663" r="9017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01" cy="177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7F" w:rsidRPr="00F76835" w:rsidRDefault="00F9717D" w:rsidP="00F76835">
      <w:pPr>
        <w:pStyle w:val="1"/>
        <w:shd w:val="clear" w:color="auto" w:fill="FFFFFF"/>
        <w:tabs>
          <w:tab w:val="left" w:pos="9638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Рисунки </w:t>
      </w:r>
      <w:r w:rsidR="00336B7F" w:rsidRPr="00F76835">
        <w:rPr>
          <w:rFonts w:ascii="Times New Roman" w:hAnsi="Times New Roman" w:cs="Times New Roman"/>
          <w:color w:val="000000"/>
          <w:spacing w:val="4"/>
          <w:sz w:val="24"/>
          <w:szCs w:val="24"/>
        </w:rPr>
        <w:t>8</w:t>
      </w:r>
      <w:r w:rsidR="00BE2348" w:rsidRPr="00F7683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="00336B7F" w:rsidRPr="00F7683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Мечети </w:t>
      </w:r>
      <w:r w:rsidR="00336B7F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Дженне и Мопти, Мали</w:t>
      </w: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Мы видим, что проекты государственно-частного парнтнерства в сфере культуры могут быть успешно реализованы не только в экономически развитых странах, но и в развивающихся государствах, имеющих значительные экономические, социальные и политические проблемы.</w:t>
      </w:r>
    </w:p>
    <w:p w:rsidR="00E376E4" w:rsidRPr="00F76835" w:rsidRDefault="00336B7F" w:rsidP="00F76835">
      <w:pPr>
        <w:pStyle w:val="ab"/>
        <w:ind w:right="0" w:firstLine="709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Анализируя опыт зарубежных стран в сфере ГЧП мы видим, что в современных условиях складываются новые тенденции, одной из них является создание культурных объектов с нуля. К наиболее ярким и успешным проектам мы относим: строительство Монреальского симфонического дома, </w:t>
      </w: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Центральной библиотеки, Национального военного музея.</w:t>
      </w:r>
    </w:p>
    <w:p w:rsidR="00E376E4" w:rsidRPr="00F76835" w:rsidRDefault="00336B7F" w:rsidP="00F76835">
      <w:pPr>
        <w:pStyle w:val="ab"/>
        <w:ind w:righ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Строительство Монреальского симфонического дома в </w:t>
      </w: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Канаде на 2100 мест (открыт в 2011 г.) стало возможных благодаря соглашению между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Правительством Квебека и SNC-LavalinGroup, отдельные полномочия были возложены на Министерство культуры и коммуникаций Квебека. Общий объем инвестиций составил 259 млн., включая выплачиваемые публичным партнером 75 млн. канадских долларов.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обязанности частного партнерства входило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проектирование, строительство, финансирование, эксплуатация и техническое обслуживание объекта.  Соглашение, заключенное в 2009 г. рассчитано на 29,2 лет, после окончания действия соглашения,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из частной собственности объект должен быть передан в собственность Квебека.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источниками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окупаемости в рамках проекта должны стать: плата за билеты, проведение различных мероприятий на объекте (включая аренду помещений),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иные сопутствующие услуги.</w:t>
      </w:r>
    </w:p>
    <w:p w:rsidR="00E376E4" w:rsidRPr="00F76835" w:rsidRDefault="00336B7F" w:rsidP="00F76835">
      <w:pPr>
        <w:pStyle w:val="ab"/>
        <w:ind w:right="0" w:firstLine="709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96921" cy="1565673"/>
            <wp:effectExtent l="19050" t="0" r="8129" b="0"/>
            <wp:docPr id="14" name="Рисунок 4" descr="https://zealnyc.com/wp-content/uploads/2016/10/Maison-Symphonique-de-Montr%C3%A9al-by-Diamond-Schmitt-Architects02-1024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ealnyc.com/wp-content/uploads/2016/10/Maison-Symphonique-de-Montr%C3%A9al-by-Diamond-Schmitt-Architects02-1024x6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86" cy="158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7279" cy="1566407"/>
            <wp:effectExtent l="19050" t="0" r="2121" b="0"/>
            <wp:docPr id="1" name="Рисунок 1" descr="http://www.capitalinas.com/sites/default/files/centro_de_conven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pitalinas.com/sites/default/files/centro_de_convencion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69" cy="158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8C" w:rsidRPr="00F76835" w:rsidRDefault="00F9717D" w:rsidP="00F76835">
      <w:pPr>
        <w:pStyle w:val="ab"/>
        <w:ind w:right="0" w:firstLine="709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Рисунки 9</w:t>
      </w:r>
      <w:r w:rsidR="00BE2348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. 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Монреальский симфонический дом, Канад</w:t>
      </w:r>
      <w:r w:rsidR="00E376E4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а</w:t>
      </w:r>
    </w:p>
    <w:p w:rsidR="00336B7F" w:rsidRPr="00F76835" w:rsidRDefault="00336B7F" w:rsidP="00F76835">
      <w:pPr>
        <w:pStyle w:val="ab"/>
        <w:ind w:righ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Строительство Центральной библиотеки в Борнмуте, Англия</w:t>
      </w:r>
      <w:r w:rsidR="009C718C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(</w:t>
      </w: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открыта с 2002 г.) стало возможным благодаря соглашению между городским советом Борнмута и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KierProjectInvestmentsLtd. Общий объем инвестиций составил 10 млн. фунтов. В обязанности частного партнера входило проектирование, строительство (на месте другой библиотеки), финансирование и техническое обслуживание, также обеспечение интернетом и доступом к онлайн-каталогу библиотеки на объекте соглашения и в сети библиотек, находящихся под управлением городского совета Борнмута (не менее 12). Соглашение, заключенное в 2000 г.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было рассчитано на 30 лет, после окончания действия контракта, из частной собственности объект будет передан в публичную собственность города Борнмут. Основным источником окупаемости проекта должна стать плата за доступность.</w:t>
      </w:r>
    </w:p>
    <w:p w:rsidR="00336B7F" w:rsidRPr="00F76835" w:rsidRDefault="00336B7F" w:rsidP="00F76835">
      <w:pPr>
        <w:pStyle w:val="1"/>
        <w:shd w:val="clear" w:color="auto" w:fill="FFFFFF"/>
        <w:tabs>
          <w:tab w:val="left" w:pos="3120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425587" cy="1811913"/>
            <wp:effectExtent l="19050" t="0" r="0" b="0"/>
            <wp:docPr id="18" name="Рисунок 18" descr="http://www.worldarchitecturenews.com/news_images/23268_3_mecC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orldarchitecturenews.com/news_images/23268_3_mecCR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55" cy="181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17196" cy="1812898"/>
            <wp:effectExtent l="19050" t="0" r="2154" b="0"/>
            <wp:docPr id="21" name="Рисунок 21" descr="http://www.miesarch.com/uploads/images/works/3158-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iesarch.com/uploads/images/works/3158-211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67" cy="18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7F" w:rsidRPr="00F76835" w:rsidRDefault="00BE2348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Рисунки 10.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Центральная библиотека Борнмута, Англия</w:t>
      </w:r>
    </w:p>
    <w:p w:rsidR="00336B7F" w:rsidRPr="00F76835" w:rsidRDefault="00EB5293" w:rsidP="00F76835">
      <w:pPr>
        <w:pStyle w:val="1"/>
        <w:shd w:val="clear" w:color="auto" w:fill="FFFFFF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Строительство Национального военного музея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Соестерберге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, Нидерланды, (открыт с 2014 г.) стало возможным благодаря Министерству обороны и Консорциуму Heijmans, ClausenKaanArchitecten, H+N+SLandschapsarchitectenandKossmann.dejongExhibitionArchitects. В обязанности частного партнера вошло проектирование, строительство, финансирование, эксплуатация и техническое обслуживание.  </w:t>
      </w:r>
      <w:r w:rsidR="00336B7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Общий объем инвестиций на строительство Музея площадью около 20 000 кв. м. с выставочными залами, ангарами, офисными и общественными помещениями составил 90 млн. евро, соглашение заключено на 25 лет.</w:t>
      </w:r>
    </w:p>
    <w:p w:rsidR="00336B7F" w:rsidRPr="00F76835" w:rsidRDefault="00336B7F" w:rsidP="00F76835">
      <w:pPr>
        <w:pStyle w:val="1"/>
        <w:shd w:val="clear" w:color="auto" w:fill="FFFFFF"/>
        <w:tabs>
          <w:tab w:val="left" w:pos="9356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B7F" w:rsidRPr="00F76835" w:rsidRDefault="00336B7F" w:rsidP="00F76835">
      <w:pPr>
        <w:pStyle w:val="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77440" cy="1584341"/>
            <wp:effectExtent l="19050" t="0" r="3810" b="0"/>
            <wp:docPr id="7" name="Рисунок 4" descr="http://im3.turbina.ru/photos.4/8/3/9/1/1/2811938/big.photo/Natsionalnyy-voennyy-m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.turbina.ru/photos.4/8/3/9/1/1/2811938/big.photo/Natsionalnyy-voennyy-mu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50" cy="15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b/>
          <w:noProof/>
          <w:color w:val="000000" w:themeColor="text1"/>
          <w:spacing w:val="4"/>
          <w:sz w:val="24"/>
          <w:szCs w:val="24"/>
        </w:rPr>
        <w:drawing>
          <wp:inline distT="0" distB="0" distL="0" distR="0">
            <wp:extent cx="2373241" cy="1581541"/>
            <wp:effectExtent l="19050" t="0" r="8009" b="0"/>
            <wp:docPr id="2" name="Рисунок 1" descr="http://im3.turbina.ru/photos.4/5/6/6/1/1/2811665/big.photo/Muzey-vooruzhennykh-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.turbina.ru/photos.4/5/6/6/1/1/2811665/big.photo/Muzey-vooruzhennykh-si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90" cy="158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7F" w:rsidRPr="00F76835" w:rsidRDefault="00F9717D" w:rsidP="00F76835">
      <w:pPr>
        <w:pStyle w:val="1"/>
        <w:shd w:val="clear" w:color="auto" w:fill="FFFFFF"/>
        <w:tabs>
          <w:tab w:val="left" w:pos="9356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Рисунки 11</w:t>
      </w:r>
      <w:r w:rsidR="00BE2348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. </w:t>
      </w:r>
      <w:r w:rsidR="00336B7F" w:rsidRPr="00F76835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Национальный военный музей Соестерберга, Нидерланды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iCs/>
          <w:spacing w:val="4"/>
          <w:sz w:val="24"/>
          <w:szCs w:val="24"/>
        </w:rPr>
        <w:t>Сравнительно небольшое количество успешных реализованных проектов в рамках ГЧП в сфере культуры мы объясняем высокими рисками (</w:t>
      </w:r>
      <w:r w:rsidRPr="00F76835">
        <w:rPr>
          <w:rFonts w:ascii="Times New Roman" w:hAnsi="Times New Roman" w:cs="Times New Roman"/>
          <w:sz w:val="24"/>
          <w:szCs w:val="24"/>
        </w:rPr>
        <w:t>вероятные изменения показателей проекта, прежде всего связанные с доходами и расходами</w:t>
      </w:r>
      <w:r w:rsidRPr="00F76835">
        <w:rPr>
          <w:rFonts w:ascii="Times New Roman" w:hAnsi="Times New Roman" w:cs="Times New Roman"/>
          <w:iCs/>
          <w:spacing w:val="4"/>
          <w:sz w:val="24"/>
          <w:szCs w:val="24"/>
        </w:rPr>
        <w:t>)</w:t>
      </w:r>
      <w:r w:rsidRPr="00F76835">
        <w:rPr>
          <w:rFonts w:ascii="Times New Roman" w:hAnsi="Times New Roman" w:cs="Times New Roman"/>
          <w:sz w:val="24"/>
          <w:szCs w:val="24"/>
        </w:rPr>
        <w:t>:</w:t>
      </w:r>
      <w:r w:rsidR="009C718C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несвоевременные</w:t>
      </w:r>
      <w:r w:rsidR="009C718C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поставки, несоблюдение указанных стандартов, несвоевременное финансирование со стороны публичного партнера, изменчивость спроса,</w:t>
      </w:r>
      <w:r w:rsidR="009C718C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 xml:space="preserve">дополнительные расходы. 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</w:pP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В качестве примера можно привести проект ГЧП по реструктуризации Королевской оружейной палаты, который возник</w:t>
      </w:r>
      <w:r w:rsidR="009C718C"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в связи с необходимостью перемещения экспонатов из Лондонского Тауэра в новое здание музея в Лидсе.</w:t>
      </w:r>
      <w:r w:rsidR="009C718C"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По прогнозу количество посетителей музея должно было составить 1,3 млн. в год и вложенные инвестиции должны были окупиться за 25 лет. Прогноз не подтвердился, в первый год</w:t>
      </w:r>
      <w:r w:rsidR="009C718C"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музей посетило 344 тыс. туристов, с последующим снижением до 191 тыс. человек,</w:t>
      </w:r>
      <w:r w:rsidR="009C718C"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проект был близок к банкротству и признан убыточным, прошел пересмотр контракта – Музей перешел в государственную собственность, но инвестор сохранил некоторые права на прибыльные виды деятельности: проведение конференций,</w:t>
      </w:r>
      <w:r w:rsidR="009C718C"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pacing w:val="4"/>
          <w:sz w:val="24"/>
          <w:szCs w:val="24"/>
        </w:rPr>
        <w:t>управление автомобильными парковками и др.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FF0000"/>
          <w:spacing w:val="4"/>
          <w:sz w:val="24"/>
          <w:szCs w:val="24"/>
          <w:u w:val="single"/>
        </w:rPr>
      </w:pPr>
    </w:p>
    <w:p w:rsidR="00336B7F" w:rsidRPr="00F76835" w:rsidRDefault="00336B7F" w:rsidP="00F76835">
      <w:pPr>
        <w:tabs>
          <w:tab w:val="left" w:pos="187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iCs/>
          <w:color w:val="000000" w:themeColor="text1"/>
          <w:spacing w:val="4"/>
          <w:sz w:val="24"/>
          <w:szCs w:val="24"/>
          <w:lang w:eastAsia="en-US"/>
        </w:rPr>
      </w:pPr>
      <w:r w:rsidRPr="00F768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81300" cy="1544955"/>
            <wp:effectExtent l="0" t="0" r="0" b="0"/>
            <wp:docPr id="13" name="Рисунок 13" descr="https://www.prolificnorth.co.uk/wp-content/uploads/2014/09/royal-armouries-le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olificnorth.co.uk/wp-content/uploads/2014/09/royal-armouries-leed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4" cy="155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348" w:rsidRPr="00F768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1530710"/>
            <wp:effectExtent l="0" t="0" r="0" b="0"/>
            <wp:docPr id="11" name="Рисунок 10" descr="Королевская Оружейная па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левская Оружейная палат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65" cy="154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B7F" w:rsidRPr="00F76835" w:rsidRDefault="00BE2348" w:rsidP="00F76835">
      <w:pPr>
        <w:tabs>
          <w:tab w:val="left" w:pos="187"/>
        </w:tabs>
        <w:spacing w:after="0" w:line="240" w:lineRule="auto"/>
        <w:ind w:firstLine="709"/>
        <w:jc w:val="both"/>
        <w:rPr>
          <w:rStyle w:val="a5"/>
          <w:rFonts w:ascii="Times New Roman" w:eastAsiaTheme="minorHAnsi" w:hAnsi="Times New Roman" w:cs="Times New Roman"/>
          <w:iCs/>
          <w:color w:val="000000" w:themeColor="text1"/>
          <w:spacing w:val="4"/>
          <w:sz w:val="24"/>
          <w:szCs w:val="24"/>
          <w:u w:val="none"/>
          <w:lang w:eastAsia="en-US"/>
        </w:rPr>
      </w:pPr>
      <w:r w:rsidRPr="00F76835">
        <w:rPr>
          <w:rFonts w:ascii="Times New Roman" w:eastAsiaTheme="minorHAnsi" w:hAnsi="Times New Roman" w:cs="Times New Roman"/>
          <w:iCs/>
          <w:color w:val="000000" w:themeColor="text1"/>
          <w:spacing w:val="4"/>
          <w:sz w:val="24"/>
          <w:szCs w:val="24"/>
          <w:lang w:eastAsia="en-US"/>
        </w:rPr>
        <w:t xml:space="preserve">Рисунки 12. </w:t>
      </w:r>
      <w:r w:rsidR="00336B7F" w:rsidRPr="00F76835">
        <w:rPr>
          <w:rFonts w:ascii="Times New Roman" w:eastAsiaTheme="minorHAnsi" w:hAnsi="Times New Roman" w:cs="Times New Roman"/>
          <w:iCs/>
          <w:color w:val="000000" w:themeColor="text1"/>
          <w:spacing w:val="4"/>
          <w:sz w:val="24"/>
          <w:szCs w:val="24"/>
          <w:lang w:eastAsia="en-US"/>
        </w:rPr>
        <w:t>Королевская оружейная палата</w:t>
      </w:r>
    </w:p>
    <w:p w:rsidR="00336B7F" w:rsidRPr="00F76835" w:rsidRDefault="00336B7F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iCs/>
          <w:color w:val="000000" w:themeColor="text1"/>
          <w:spacing w:val="4"/>
        </w:rPr>
      </w:pPr>
      <w:r w:rsidRPr="00F76835">
        <w:rPr>
          <w:color w:val="000000" w:themeColor="text1"/>
        </w:rPr>
        <w:t xml:space="preserve">Таким образом, мы видим, что зарубежный опыт использования механизмов государственно-частного партнерства разнообразен, что объясняется длительной историей существования и развития данного инструмента в зарубежных государствах. Предпосылки развития государственно-частного партнерства в каждом государстве носят свой особый, специфический характер, что обуславливается историей государства или региона (области, конкретного города), уровнем социально-экономического развития страны, уровнем жизни населения и другими факторами. Анализируя опыт ГЧП зарубежных стран в сфере культуры, мы видим, что наиболее эффективной является концессионная схема. </w:t>
      </w:r>
      <w:r w:rsidRPr="00F76835">
        <w:rPr>
          <w:iCs/>
          <w:color w:val="000000" w:themeColor="text1"/>
          <w:spacing w:val="4"/>
        </w:rPr>
        <w:t>Классическими примерами зарубежных проектов ГЧП в сфере культуры являются реконструкция/реставрация/строительство.</w:t>
      </w: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1DCC" w:rsidRPr="00F76835" w:rsidRDefault="00B61DCC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376E4" w:rsidRPr="00F76835" w:rsidRDefault="00E376E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24D27" w:rsidRPr="00EB5293" w:rsidRDefault="00924D27" w:rsidP="00EB529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5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Практика государственно-частного партнёрства</w:t>
      </w:r>
      <w:r w:rsidR="00207E85" w:rsidRPr="00EB5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B52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сфере сохранения культурного наследия России</w:t>
      </w:r>
    </w:p>
    <w:p w:rsidR="00924D27" w:rsidRPr="00F76835" w:rsidRDefault="00924D27" w:rsidP="00F768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4D27" w:rsidRPr="00F76835" w:rsidRDefault="00924D27" w:rsidP="00F768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РФ механизм ГЧП получил официальный статус в 2004 г. в Основных направлениях деятельности Правительства РФ на период до 2008 г.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в настоящее время в связи с изменившимися социально-экономическими условиями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обозначен как приоритетное направление политики России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10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За прошедший период накоплен богатый опыт </w:t>
      </w:r>
      <w:r w:rsidRPr="00F76835">
        <w:rPr>
          <w:rFonts w:ascii="Times New Roman" w:hAnsi="Times New Roman" w:cs="Times New Roman"/>
          <w:sz w:val="24"/>
          <w:szCs w:val="24"/>
        </w:rPr>
        <w:t>совершенствования механизмов ГЧП</w:t>
      </w:r>
      <w:r w:rsidR="009C718C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 xml:space="preserve">в различных сферах социально-экономической деятельности, наибольшее количество проектов реализовано в области транспортной инфраструктуры и системы здравоохранения. </w:t>
      </w:r>
    </w:p>
    <w:p w:rsidR="00924D27" w:rsidRPr="00F76835" w:rsidRDefault="00924D27" w:rsidP="00F768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интересующей нас сфере культуры в России ГЧП </w:t>
      </w:r>
      <w:r w:rsidRPr="00F76835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только начинает развиваться и реализуется в рамках следующего нормативно-правового пространства:</w:t>
      </w:r>
    </w:p>
    <w:p w:rsidR="00924D27" w:rsidRPr="00F76835" w:rsidRDefault="00924D27" w:rsidP="00F7683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от 13.07.2015 № 224-ФЗ (ред. от 03.07.2016) «О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Федерации» (с изм. и доп., вступ. в силу с 01.01.2017)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11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4D27" w:rsidRPr="00F76835" w:rsidRDefault="00924D27" w:rsidP="00F7683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от 25.06.2002 № 73-ФЗ (ред. от 29.12.2017) «Об объектах культурного наследия (памятниках истории и культуры) народов Российской Федерации»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12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4D27" w:rsidRPr="00F76835" w:rsidRDefault="00924D27" w:rsidP="00F76835">
      <w:pPr>
        <w:pStyle w:val="1"/>
        <w:numPr>
          <w:ilvl w:val="0"/>
          <w:numId w:val="3"/>
        </w:numPr>
        <w:shd w:val="clear" w:color="auto" w:fill="FFFFFF"/>
        <w:spacing w:before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«О меценатской деятельности» от 04.11.2014 № 327-ФЗ</w:t>
      </w:r>
      <w:r w:rsidRPr="00F76835">
        <w:rPr>
          <w:rStyle w:val="a7"/>
          <w:rFonts w:ascii="Times New Roman" w:hAnsi="Times New Roman"/>
          <w:b/>
          <w:color w:val="000000" w:themeColor="text1"/>
          <w:sz w:val="24"/>
          <w:szCs w:val="24"/>
        </w:rPr>
        <w:footnoteReference w:id="13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4D27" w:rsidRPr="00F76835" w:rsidRDefault="00924D27" w:rsidP="00F76835">
      <w:pPr>
        <w:pStyle w:val="1"/>
        <w:numPr>
          <w:ilvl w:val="0"/>
          <w:numId w:val="3"/>
        </w:numPr>
        <w:shd w:val="clear" w:color="auto" w:fill="FFFFFF"/>
        <w:spacing w:before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от 21.07.2005 № 115-ФЗ (ред. от 31.12.2017) «О концессионных соглашениях»</w:t>
      </w:r>
      <w:r w:rsidRPr="00F76835">
        <w:rPr>
          <w:rStyle w:val="a7"/>
          <w:rFonts w:ascii="Times New Roman" w:hAnsi="Times New Roman"/>
          <w:b/>
          <w:color w:val="000000" w:themeColor="text1"/>
          <w:sz w:val="24"/>
          <w:szCs w:val="24"/>
        </w:rPr>
        <w:footnoteReference w:id="14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24D27" w:rsidRPr="00F76835" w:rsidRDefault="00924D27" w:rsidP="00F7683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Распоряжения Правительства РФ от 29.02.2016 N 326-р «Об утверждении Стратегии государственной культурной политики на период до 2030 г.»</w:t>
      </w:r>
      <w:r w:rsidRPr="00F76835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footnoteReference w:id="15"/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924D27" w:rsidRPr="00F76835" w:rsidRDefault="00924D27" w:rsidP="00F7683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а также ряда статей Гражданского Кодекса РФ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16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актов законодательства субъектов РФ. 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Еще в 2011г. Министерство культуры РФ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создало Рабочую группу по развитию ГЧП в сфере культуры, в задачи которой входит объединение усилий бизнеса и власти по развитию отрасли</w:t>
      </w:r>
      <w:r w:rsidRPr="00F76835">
        <w:rPr>
          <w:rStyle w:val="a7"/>
          <w:rFonts w:ascii="Times New Roman" w:hAnsi="Times New Roman"/>
          <w:iCs/>
          <w:color w:val="000000" w:themeColor="text1"/>
          <w:sz w:val="24"/>
          <w:szCs w:val="24"/>
        </w:rPr>
        <w:footnoteReference w:id="17"/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Этому важному, на наш взгляд, вопросу деятельности регулярно уделяется внимание различных органов государственной власти, он нашел отражение в Поручениях Президента РФ от 24.12.2014 г.,</w:t>
      </w:r>
      <w:r w:rsidR="009C718C"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сформированных по итогам совместного заседания </w:t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Государственного совета РФ и Совета при Президенте РФ по культуре и искусству: «Одной из основных задач является создание условий для развития государственно-частного партнерства, социального и творческого предпринимательства для благотворительности, меценатства</w:t>
      </w:r>
      <w:r w:rsidR="009C718C"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и, в целом, для широкого вовлечения граждан в реализацию культурной политики»</w:t>
      </w:r>
      <w:r w:rsidRPr="00F76835">
        <w:rPr>
          <w:rStyle w:val="a7"/>
          <w:rFonts w:ascii="Times New Roman" w:hAnsi="Times New Roman"/>
          <w:iCs/>
          <w:color w:val="000000" w:themeColor="text1"/>
          <w:sz w:val="24"/>
          <w:szCs w:val="24"/>
        </w:rPr>
        <w:footnoteReference w:id="18"/>
      </w:r>
      <w:r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При этом в целях привлечения</w:t>
      </w:r>
      <w:r w:rsidR="009C718C" w:rsidRPr="00F7683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отечественных инвесторов государство готово предложить бизнесу весь спектр льготных механизмов аренды, кредитования и налогообложения, вплоть до последующего выкупа и передачи памятников культуры в собственность. Ориентиром для развития данного направления государственной политики может выступить </w:t>
      </w:r>
      <w:r w:rsidRPr="00F76835">
        <w:rPr>
          <w:rFonts w:ascii="Times New Roman" w:hAnsi="Times New Roman" w:cs="Times New Roman"/>
          <w:sz w:val="24"/>
          <w:szCs w:val="24"/>
        </w:rPr>
        <w:t>Реестр объектов культурного наследия</w:t>
      </w:r>
      <w:r w:rsidRPr="00F76835">
        <w:rPr>
          <w:rStyle w:val="a7"/>
          <w:rFonts w:ascii="Times New Roman" w:hAnsi="Times New Roman"/>
          <w:sz w:val="24"/>
          <w:szCs w:val="24"/>
        </w:rPr>
        <w:footnoteReference w:id="19"/>
      </w:r>
      <w:r w:rsidRPr="00F76835">
        <w:rPr>
          <w:rFonts w:ascii="Times New Roman" w:hAnsi="Times New Roman" w:cs="Times New Roman"/>
          <w:sz w:val="24"/>
          <w:szCs w:val="24"/>
        </w:rPr>
        <w:t>.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 xml:space="preserve">Несмотря на немногочисленность реализуемых проектов ГЧП в сфере культуры, в РФ на сегодняшний день накоплен положительный опыт сохранения памятников культуры, создания частных культурных объектов, организации и проведения мероприятий в области культуры и искусства. 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 xml:space="preserve">Основными формами реализации проектов ГЧП в сфере культуры, доказавшими свою продуктивность, становятся </w:t>
      </w:r>
      <w:r w:rsidRPr="00F76835">
        <w:rPr>
          <w:color w:val="000000" w:themeColor="text1"/>
          <w:shd w:val="clear" w:color="auto" w:fill="FFFFFF"/>
        </w:rPr>
        <w:t>концессионные соглашения и</w:t>
      </w:r>
      <w:r w:rsidR="009C718C" w:rsidRPr="00F76835">
        <w:rPr>
          <w:color w:val="000000" w:themeColor="text1"/>
          <w:shd w:val="clear" w:color="auto" w:fill="FFFFFF"/>
        </w:rPr>
        <w:t xml:space="preserve"> </w:t>
      </w:r>
      <w:r w:rsidRPr="00F76835">
        <w:rPr>
          <w:color w:val="000000" w:themeColor="text1"/>
          <w:shd w:val="clear" w:color="auto" w:fill="FFFFFF"/>
        </w:rPr>
        <w:t xml:space="preserve">контракты жизненного цикла, а также менее масштабные по вложениям </w:t>
      </w:r>
      <w:r w:rsidRPr="00F76835">
        <w:rPr>
          <w:bCs/>
          <w:color w:val="000000" w:themeColor="text1"/>
          <w:shd w:val="clear" w:color="auto" w:fill="FFFFFF"/>
        </w:rPr>
        <w:t>инвестиционно-девелоперские проекты</w:t>
      </w:r>
      <w:r w:rsidRPr="00F76835">
        <w:rPr>
          <w:color w:val="000000" w:themeColor="text1"/>
          <w:shd w:val="clear" w:color="auto" w:fill="FFFFFF"/>
        </w:rPr>
        <w:t xml:space="preserve">(инвестиции в собственные проекты, реализуемые на объектах частной собственности при поддержке органов власти, которые инициированы самими инвесторами); </w:t>
      </w:r>
      <w:r w:rsidRPr="00F76835">
        <w:rPr>
          <w:bCs/>
          <w:color w:val="000000" w:themeColor="text1"/>
          <w:shd w:val="clear" w:color="auto" w:fill="FFFFFF"/>
        </w:rPr>
        <w:t>системные социокультурные практики</w:t>
      </w:r>
      <w:r w:rsidRPr="00F76835">
        <w:rPr>
          <w:color w:val="000000" w:themeColor="text1"/>
          <w:shd w:val="clear" w:color="auto" w:fill="FFFFFF"/>
        </w:rPr>
        <w:t xml:space="preserve">(проекты, реализованные на арендованных площадях при поддержке органов власти); </w:t>
      </w:r>
      <w:r w:rsidRPr="00F76835">
        <w:rPr>
          <w:bCs/>
          <w:color w:val="000000" w:themeColor="text1"/>
          <w:shd w:val="clear" w:color="auto" w:fill="FFFFFF"/>
        </w:rPr>
        <w:t>событийные проекты</w:t>
      </w:r>
      <w:r w:rsidRPr="00F76835">
        <w:rPr>
          <w:color w:val="000000" w:themeColor="text1"/>
          <w:shd w:val="clear" w:color="auto" w:fill="FFFFFF"/>
        </w:rPr>
        <w:t>(реализующиеся на коммерческой основе при участии государственных органов</w:t>
      </w:r>
      <w:r w:rsidR="009C718C" w:rsidRPr="00F76835">
        <w:rPr>
          <w:color w:val="000000" w:themeColor="text1"/>
          <w:shd w:val="clear" w:color="auto" w:fill="FFFFFF"/>
        </w:rPr>
        <w:t xml:space="preserve"> </w:t>
      </w:r>
      <w:r w:rsidRPr="00F76835">
        <w:rPr>
          <w:color w:val="000000" w:themeColor="text1"/>
          <w:shd w:val="clear" w:color="auto" w:fill="FFFFFF"/>
        </w:rPr>
        <w:t xml:space="preserve">власти: фестивали, культурные мероприятия, программы); </w:t>
      </w:r>
      <w:r w:rsidRPr="00F76835">
        <w:rPr>
          <w:bCs/>
          <w:color w:val="000000" w:themeColor="text1"/>
          <w:shd w:val="clear" w:color="auto" w:fill="FFFFFF"/>
        </w:rPr>
        <w:t>спонсорские проекты (</w:t>
      </w:r>
      <w:r w:rsidRPr="00F76835">
        <w:rPr>
          <w:color w:val="000000" w:themeColor="text1"/>
          <w:shd w:val="clear" w:color="auto" w:fill="FFFFFF"/>
        </w:rPr>
        <w:t>проекты, инициированные государством при поддержке средств бизнеса).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 xml:space="preserve">Наиболее </w:t>
      </w:r>
      <w:r w:rsidRPr="00F76835">
        <w:t>эффективную</w:t>
      </w:r>
      <w:r w:rsidRPr="00F76835">
        <w:rPr>
          <w:color w:val="000000" w:themeColor="text1"/>
        </w:rPr>
        <w:t xml:space="preserve"> схему работы с инвесторами, на наш взгляд, разработали в Московской области, где весь нормативно-правовой процесс ГЧП прописан пошагово. Для потенциального инвестора</w:t>
      </w:r>
      <w:r w:rsidR="009C718C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>открыт «зелёный коридор», и сейчас 31 памятник Подмосковья передан бизнесу на льготных условиях, в том числе, например, усадьба Аигиных в деревне Талица Пушкинского района.</w:t>
      </w:r>
      <w:r w:rsidR="009C718C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 xml:space="preserve">В целях возрождения не просто здания, а духа и атмосферы усадьбы на объекте в течение двух лет работали сто человек: удалось восстановить конюшню, хозяйственный двор, флигель, изящные залы усадьбы. Полное восстановление обошлось инвестору(компания </w:t>
      </w:r>
      <w:r w:rsidRPr="00F76835">
        <w:rPr>
          <w:color w:val="000000" w:themeColor="text1"/>
          <w:lang w:val="en-US"/>
        </w:rPr>
        <w:t>ActiveSaleGroup</w:t>
      </w:r>
      <w:r w:rsidRPr="00F76835">
        <w:rPr>
          <w:color w:val="000000" w:themeColor="text1"/>
        </w:rPr>
        <w:t xml:space="preserve">) в 250млн руб. </w:t>
      </w:r>
      <w:r w:rsidRPr="00F76835">
        <w:rPr>
          <w:bCs/>
          <w:color w:val="000000" w:themeColor="text1"/>
        </w:rPr>
        <w:t>Предполагаемый срок окупаемости инвестиций</w:t>
      </w:r>
      <w:r w:rsidRPr="00F76835">
        <w:rPr>
          <w:color w:val="000000" w:themeColor="text1"/>
        </w:rPr>
        <w:t xml:space="preserve"> – 15-20 лет после ввода объекта в эксплуатацию. 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rStyle w:val="a4"/>
          <w:b w:val="0"/>
          <w:bCs w:val="0"/>
          <w:color w:val="000000" w:themeColor="text1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860" cy="1514475"/>
            <wp:effectExtent l="19050" t="0" r="0" b="0"/>
            <wp:docPr id="12" name="Рисунок 4" descr="https://riamo.ru/files/image/00/11/08/gallery!4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amo.ru/files/image/00/11/08/gallery!49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5" cy="15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348" w:rsidRPr="00F7683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449779"/>
            <wp:effectExtent l="19050" t="0" r="9525" b="0"/>
            <wp:docPr id="17" name="Рисунок 7" descr="http://auipik.ru/wp-content/cache/thumb/119aeaaa1_77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ipik.ru/wp-content/cache/thumb/119aeaaa1_770x40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16" cy="14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27" w:rsidRPr="00F76835" w:rsidRDefault="00BE2348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13. </w:t>
      </w:r>
      <w:r w:rsidR="00924D27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Усадьба Аигиных до и после реставрации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Экскурсии, проводимые в купеческой усадьбе середины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в., где останавливались Тургенев И.С, Аксаков С.Т, Салтыков-Щедрин М.Е., востребованы потребителем.</w:t>
      </w:r>
      <w:r w:rsidR="009C718C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позволил придать импульс социально-экономическому развитию деревни Талица и расширить туристический кластер Подмосковья, в том числе для иностранных туристов. Поощрением за успешно реализованный проект стало выделение государством земельного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участка, который не входил в зону охраны, и добавление его к усадьбе Аигина, что позволит инвестору возводить новые объекты.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Проект ГЧП «Усадьба Аигиных» был реализован в рамках Губернаторской программы «Усадьбы Подмосковья»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20"/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на основе </w:t>
      </w:r>
      <w:r w:rsidRPr="00F76835">
        <w:rPr>
          <w:rFonts w:ascii="Times New Roman" w:hAnsi="Times New Roman" w:cs="Times New Roman"/>
          <w:sz w:val="24"/>
          <w:szCs w:val="24"/>
        </w:rPr>
        <w:t>Постановления Правительства Московской области от 13.05.2013 № 297/17 «</w:t>
      </w:r>
      <w:r w:rsidRPr="00F76835">
        <w:rPr>
          <w:rFonts w:ascii="Times New Roman" w:hAnsi="Times New Roman" w:cs="Times New Roman"/>
          <w:bCs/>
          <w:sz w:val="24"/>
          <w:szCs w:val="24"/>
        </w:rPr>
        <w:t xml:space="preserve">Об утверждении порядка установления льготной арендной платы и ее размеров в отношении объектов культурного наследия, находящихся в собственности Московской области». </w:t>
      </w:r>
      <w:r w:rsidRPr="00F76835">
        <w:rPr>
          <w:rFonts w:ascii="Times New Roman" w:hAnsi="Times New Roman" w:cs="Times New Roman"/>
          <w:color w:val="1B1C1D"/>
          <w:sz w:val="24"/>
          <w:szCs w:val="24"/>
        </w:rPr>
        <w:t xml:space="preserve">Согласно этим документам, объекты культурного наследия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передаются инвесторам с правом свободного целевого использования: в социальных, культурных, образовательных, административно-деловых, гостинично-рекреационных целях в аренду на 49 лет по рыночной ставке арендной платы с условием, что арендатор за свой счет проведет полный комплекс реставрационных работ, который не должен длиться более</w:t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7 лет. При соблюдении всех условий после реставрации арендная плата составит 1 рубль за 1 кв. м. в год.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>В течение 2012–2013 гг. была проведена инвентаризация и паспортизация объектов культурного наследия, входящих в состав собственности Московской области и находящихся в неудовлетворительном состоянии. Из 27 объектов, находящихся в критическом состоянии, на сегодняшний день с целью регенерации утраченной историко-архитектурной среды частным инвесторам передано 18 усадеб, инвестиционной группой компаний ASG реставрируется одновременно 8 объектов. Со стороны государственного партнера (субъекта РФ) в проекте участвуют Правительство Московской области (общее руководство проектом); Министерство имущественных отношений Московской области и муниципальные образования (на правах собственника формируют списки объектов, включаемых в проект, организуют проведение аукционов и заключение договоров аренды); Министерство культуры Московской области (являясь уполномоченным органом охраны объектов культурного наследия, осуществляет контроль за выполнением инвестором работ по сохранению объектов).</w:t>
      </w:r>
    </w:p>
    <w:p w:rsidR="00924D27" w:rsidRPr="00F76835" w:rsidRDefault="00924D27" w:rsidP="00F768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Успешные практики реализации ГЧП в сфере культуры существуют не только в Московской области, но и в других субъектах РФ. Рассмотрим некоторые из них.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Реконструкция уникального исторического архитектурного комплекса «Музей-усадьба «Полотняный завод» (Гончаровых) XVIII в.» в посёлке Полотняный Завод Дзержинского района Калужской области позволила сохранить объекты культурного наследия и создать литературный отель – туристический центр для организации культурных мероприятий, отдыха, развлечений и иной деятельности. Концессионное соглашение было заключено между Калужской областью в лице Министерства экономического развития Калужской области и ЗАО Инвестиционная компания «Альпинэкс Австрия» в 2012 г. Работы по реставрации здания обошлись </w:t>
      </w:r>
      <w:r w:rsidRPr="00F76835">
        <w:rPr>
          <w:rFonts w:ascii="Times New Roman" w:hAnsi="Times New Roman" w:cs="Times New Roman"/>
          <w:sz w:val="24"/>
          <w:szCs w:val="24"/>
        </w:rPr>
        <w:t>компании в более чем 75 млн</w:t>
      </w:r>
      <w:r w:rsidR="00BD43AD" w:rsidRPr="00F76835">
        <w:rPr>
          <w:rFonts w:ascii="Times New Roman" w:hAnsi="Times New Roman" w:cs="Times New Roman"/>
          <w:sz w:val="24"/>
          <w:szCs w:val="24"/>
        </w:rPr>
        <w:t>.</w:t>
      </w:r>
      <w:r w:rsidRPr="00F76835">
        <w:rPr>
          <w:rFonts w:ascii="Times New Roman" w:hAnsi="Times New Roman" w:cs="Times New Roman"/>
          <w:sz w:val="24"/>
          <w:szCs w:val="24"/>
        </w:rPr>
        <w:t xml:space="preserve"> руб.</w:t>
      </w:r>
      <w:r w:rsidR="00BD43AD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Задачей проекта являлось сохранение уникального исторического архитектурного комплекса и создание на его территории туристического центра, который позволит восстановить исторические ценности Калужского региона, открыть дополнительные рабочие места, а также сформировать благоприятные условия для развития малого предпринимательства в сфере торговли, гостиничного и ресторанного бизнеса, транспортных и других услуг.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механизмов ГЧП приведена в порядок территория усадьбы, реставрировано здание ткацкого корпуса, проведены работы по гидроизоляции фундамента и организации дренажной системы для отвода грунтовых вод и атмосферных осадков, восстановлены кровля и окна здания, проведены ремонтно-реставрационные работы, открыто литературное кафе «Гончаров»,восстановлена летняя веранда. Интерьер отреставрированного комплекса полностью соответствует исторической традиции XIX в.:</w:t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мебель и резные украшения из дерева, книги и мн. др.Благодаря реконструкции посещаемость музея-усадьбы выросла почти в 3 раза.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499FD6"/>
          <w:sz w:val="24"/>
          <w:szCs w:val="24"/>
        </w:rPr>
        <w:drawing>
          <wp:inline distT="0" distB="0" distL="0" distR="0">
            <wp:extent cx="2466975" cy="1753715"/>
            <wp:effectExtent l="0" t="0" r="0" b="0"/>
            <wp:docPr id="20" name="Рисунок 20" descr="https://img-fotki.yandex.ru/get/40/121998322.2c/0_74190_8abe8d50_XXL.jp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0/121998322.2c/0_74190_8abe8d50_XXL.jp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251" t="10555"/>
                    <a:stretch/>
                  </pic:blipFill>
                  <pic:spPr bwMode="auto">
                    <a:xfrm>
                      <a:off x="0" y="0"/>
                      <a:ext cx="2491653" cy="17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color w:val="499FD6"/>
          <w:sz w:val="24"/>
          <w:szCs w:val="24"/>
        </w:rPr>
        <w:drawing>
          <wp:inline distT="0" distB="0" distL="0" distR="0">
            <wp:extent cx="2581275" cy="1753628"/>
            <wp:effectExtent l="0" t="0" r="0" b="0"/>
            <wp:docPr id="24" name="Рисунок 24" descr="https://img-fotki.yandex.ru/get/2914/121998322.2c/0_74187_70ae35d2_XXL.jpg">
              <a:hlinkClick xmlns:a="http://schemas.openxmlformats.org/drawingml/2006/main" r:id="rId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2914/121998322.2c/0_74187_70ae35d2_XXL.jpg">
                      <a:hlinkClick r:id="rId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366" r="50975" b="7474"/>
                    <a:stretch/>
                  </pic:blipFill>
                  <pic:spPr bwMode="auto">
                    <a:xfrm>
                      <a:off x="0" y="0"/>
                      <a:ext cx="2593192" cy="17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D27" w:rsidRDefault="00031B0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14. </w:t>
      </w:r>
      <w:r w:rsidR="00924D27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Музей-усадьба «Полотняный завод» до и после реконструкции</w:t>
      </w:r>
    </w:p>
    <w:p w:rsidR="00EB5293" w:rsidRPr="00F76835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Реставрация объекта культурного наследия РФ регионального значения «Общественные бани Я.Е. Макарова»</w:t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городе Архангельске (1900–1904, архитектор В.А. Никитин) реализована не в концессионной схеме. Здание выкуплено предпринимателем В.Л. Немченя с обременением (охранное обязательство на объект культурного наследия выдано 07.12.2010 инспекцией по надзору за сохранностью памятников истории и культуры Архангельской области). 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Первые каменные бани общественного назначения в г. Архангельске («Макаровские бани») были построены в начале XX в. на средства архангельского купца Якова Ефимовича Макарова – трехэтажный корпус, сложенный из обожженного красного кирпича, с карнизами, наличниками окон и дверей, ажурными водосточными трубами стал украшением набережной Северной Двины. Все конструкции, кроме дверей и обстановки, были сделаны из несгораемого материала.</w:t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1920 г. «Макаровские бани» переданы в ведение Архангельского губисполкома,</w:t>
      </w:r>
      <w:r w:rsidR="00BD43A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 здании располагались разные организации; объект передавался от одного собственника к другому, в 1970-е гг. из-за технического состояния здание было заброшено.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По экспертной оценке, на начало реконструкции здание было в неудовлетворительном состоянии: первый этаж практически полностью находился под землей, стены и фундамент – в трещинах. В ходе ремонтно-реставрационных работ в рамках трехлетнего проекта ГЧП были укреплены стены и фундамент здания, восстановлены основные конструкции и элементы, включая сводчатые потолки и крышу,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фасад реконструирован по историческим фотографиям с использованием специального кирпича для реставрации старинных построек, на нижнем этаже установлена автономная котельная, восстановлена водопроводная канализация.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сегодняшний момент в здании располагаются офисные и торговые помещения, планируется размещение заведений культурно-досугового характера. 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4D27" w:rsidRPr="00F76835" w:rsidRDefault="00924D27" w:rsidP="00F76835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44915" cy="1828800"/>
            <wp:effectExtent l="19050" t="0" r="0" b="0"/>
            <wp:docPr id="25" name="Рисунок 3" descr="https://img-fotki.yandex.ru/get/6108/125827701.f/0_7211e_9fef24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6108/125827701.f/0_7211e_9fef24a0_X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9316" cy="18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13517" cy="1833708"/>
            <wp:effectExtent l="19050" t="0" r="0" b="0"/>
            <wp:docPr id="28" name="Рисунок 4" descr="https://img-fotki.yandex.ru/get/6516/125827701.3f/0_8db1f_f304ccf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6516/125827701.3f/0_8db1f_f304ccf5_X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7" cy="18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D27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9717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031B00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Общественные бани Я.Е. Макарова до и после восстановления</w:t>
      </w:r>
    </w:p>
    <w:p w:rsidR="00EB5293" w:rsidRPr="00F76835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>Ещё один успешный проект – Усадьба «Скорняково» в Задонском районе Липецкой области –</w:t>
      </w:r>
      <w:r w:rsidR="001D472D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>был выполнен посредством участия бизнеса в особой экономической зоне регионального уровня туристско-рекреационного типа «Задонщина».</w:t>
      </w:r>
      <w:r w:rsidR="001D472D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>Инвестиционные затраты, рассчитанного на период 2010–2018 гг., уже составили более 200 млн</w:t>
      </w:r>
      <w:r w:rsidR="00F9717D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>руб.,</w:t>
      </w:r>
      <w:r w:rsidR="001D472D" w:rsidRPr="00F76835">
        <w:rPr>
          <w:color w:val="000000" w:themeColor="text1"/>
        </w:rPr>
        <w:t xml:space="preserve"> </w:t>
      </w:r>
      <w:r w:rsidRPr="00F76835">
        <w:rPr>
          <w:bCs/>
          <w:color w:val="000000" w:themeColor="text1"/>
        </w:rPr>
        <w:t xml:space="preserve">предполагаемый срок окупаемости инвестиций – </w:t>
      </w:r>
      <w:r w:rsidRPr="00F76835">
        <w:rPr>
          <w:color w:val="000000" w:themeColor="text1"/>
        </w:rPr>
        <w:t xml:space="preserve">15 лет после ввода объекта в эксплуатацию. Получив разрешение на </w:t>
      </w:r>
      <w:r w:rsidRPr="00F76835">
        <w:t>строительство гостиничного комплекса «Усадьба «Скорняково», инвестор – предприниматель-меценат Алексей Шкрапкин–</w:t>
      </w:r>
      <w:r w:rsidRPr="00F76835">
        <w:rPr>
          <w:color w:val="000000" w:themeColor="text1"/>
        </w:rPr>
        <w:t>по условиям соглашения первоначально должен был восстановить исторический облик поместья русского полководца, героя войны 1812 г. и войн на Кавказе середины XIX в., декабриста Н.Н. Муравьева-Карского.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color w:val="000000" w:themeColor="text1"/>
        </w:rPr>
        <w:t>По итогам проекта ГЧП помимо реставрации уникального памятника истории и культуры, благоустройства территории, были созданы новые объекты туристской инфраструктуры. Усадьба, расположенная на территории площадью около 20 га и насчитывающая порядка 4 тыс. кв.</w:t>
      </w:r>
      <w:r w:rsidR="001D472D" w:rsidRPr="00F76835">
        <w:rPr>
          <w:color w:val="000000" w:themeColor="text1"/>
        </w:rPr>
        <w:t xml:space="preserve"> </w:t>
      </w:r>
      <w:r w:rsidRPr="00F76835">
        <w:rPr>
          <w:color w:val="000000" w:themeColor="text1"/>
        </w:rPr>
        <w:t>м жилых, хозяйственных площадей и мест общего пользования, состоящая из 3 апартаментов и 20 номеров, ресторана, оздоровительного комплекса (включая СПА-центр), залов для конференций и семинаров и хозяйственных построек, функционирует как загородный рекреационно-гостиничный комплекс экологического, культурно-исторического туризма и ориентирована не только на жителей городов Липецк и Воронеж, но и на российских и зарубежных туристов.</w:t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noProof/>
        </w:rPr>
      </w:pPr>
      <w:r w:rsidRPr="00F76835">
        <w:rPr>
          <w:noProof/>
        </w:rPr>
        <w:drawing>
          <wp:inline distT="0" distB="0" distL="0" distR="0">
            <wp:extent cx="2670014" cy="1786270"/>
            <wp:effectExtent l="19050" t="0" r="0" b="0"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59" cy="179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noProof/>
        </w:rPr>
        <w:drawing>
          <wp:inline distT="0" distB="0" distL="0" distR="0">
            <wp:extent cx="2683579" cy="1784442"/>
            <wp:effectExtent l="19050" t="0" r="2471" b="0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16" cy="178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27" w:rsidRPr="00F76835" w:rsidRDefault="00924D27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rPr>
          <w:color w:val="000000" w:themeColor="text1"/>
        </w:rPr>
      </w:pPr>
      <w:r w:rsidRPr="00F76835">
        <w:rPr>
          <w:noProof/>
        </w:rPr>
        <w:t xml:space="preserve">Рисунок </w:t>
      </w:r>
      <w:r w:rsidR="00F9717D" w:rsidRPr="00F76835">
        <w:rPr>
          <w:noProof/>
        </w:rPr>
        <w:t>16</w:t>
      </w:r>
      <w:r w:rsidR="00031B00" w:rsidRPr="00F76835">
        <w:rPr>
          <w:noProof/>
        </w:rPr>
        <w:t xml:space="preserve">. </w:t>
      </w:r>
      <w:r w:rsidRPr="00F76835">
        <w:rPr>
          <w:noProof/>
        </w:rPr>
        <w:t xml:space="preserve">Одно из зданий на территории гостиничного комплекса </w:t>
      </w:r>
      <w:r w:rsidRPr="00F76835">
        <w:rPr>
          <w:color w:val="000000" w:themeColor="text1"/>
        </w:rPr>
        <w:t>«Усадьба «Скорняково» до и после восстановления</w:t>
      </w:r>
    </w:p>
    <w:p w:rsidR="00924D27" w:rsidRPr="00F76835" w:rsidRDefault="00924D27" w:rsidP="00F76835">
      <w:pPr>
        <w:pStyle w:val="ac"/>
        <w:ind w:firstLine="709"/>
        <w:jc w:val="both"/>
        <w:rPr>
          <w:b w:val="0"/>
          <w:szCs w:val="24"/>
        </w:rPr>
      </w:pPr>
      <w:bookmarkStart w:id="0" w:name="_Toc422163499"/>
      <w:bookmarkStart w:id="1" w:name="_Toc422240215"/>
      <w:bookmarkStart w:id="2" w:name="_Toc422318122"/>
      <w:bookmarkStart w:id="3" w:name="_Toc422318537"/>
      <w:bookmarkStart w:id="4" w:name="_Toc422739292"/>
      <w:bookmarkStart w:id="5" w:name="_Toc423102758"/>
      <w:r w:rsidRPr="00F76835">
        <w:rPr>
          <w:b w:val="0"/>
          <w:szCs w:val="24"/>
        </w:rPr>
        <w:t xml:space="preserve">Одним из самых активных субъектов РФ из числа реализующих проекты ГЧП по сохранению культурного наследия, несомненно, является Татарстан. Яркими примерами успешных проектов являются «Дом Банарцева», «Жилой дом архитектора М.П. Коринфского», </w:t>
      </w:r>
      <w:r w:rsidRPr="00F76835">
        <w:rPr>
          <w:b w:val="0"/>
          <w:color w:val="000000" w:themeColor="text1"/>
          <w:szCs w:val="24"/>
          <w:shd w:val="clear" w:color="auto" w:fill="FFFFFF"/>
        </w:rPr>
        <w:t>«Главный дом городской усадьбы», «Дом Чекмарева», «Комплекс Адмиралтейской конторы. Большое здание», «Дом, в котором в 1927–1929 гг. жил видный татарский писатель Шамиль Усманов».</w:t>
      </w:r>
    </w:p>
    <w:p w:rsidR="00924D27" w:rsidRPr="00F76835" w:rsidRDefault="00924D27" w:rsidP="00F76835">
      <w:pPr>
        <w:pStyle w:val="ac"/>
        <w:ind w:firstLine="709"/>
        <w:jc w:val="both"/>
        <w:rPr>
          <w:b w:val="0"/>
          <w:bCs/>
          <w:szCs w:val="24"/>
        </w:rPr>
      </w:pPr>
      <w:r w:rsidRPr="00F76835">
        <w:rPr>
          <w:b w:val="0"/>
          <w:szCs w:val="24"/>
        </w:rPr>
        <w:t>В рамках инвестиционно-девелоперского проекта восстановления исторической части г. Казани прошла реставрация и приспособление под современное использование объекта культурного наследия народов РФ республиканского значения «Дом Банарцева»</w:t>
      </w:r>
      <w:bookmarkEnd w:id="0"/>
      <w:bookmarkEnd w:id="1"/>
      <w:bookmarkEnd w:id="2"/>
      <w:bookmarkEnd w:id="3"/>
      <w:bookmarkEnd w:id="4"/>
      <w:bookmarkEnd w:id="5"/>
      <w:r w:rsidRPr="00F76835">
        <w:rPr>
          <w:b w:val="0"/>
          <w:szCs w:val="24"/>
        </w:rPr>
        <w:t xml:space="preserve">. </w:t>
      </w:r>
      <w:r w:rsidRPr="00F76835">
        <w:rPr>
          <w:b w:val="0"/>
          <w:bCs/>
          <w:szCs w:val="24"/>
        </w:rPr>
        <w:t>Первоначально выстроенный в типично кафтыревском стиле со всеми характерными для него архитектурными элементами фасадов Дом Банарцева представлял собой двухэтажное каменное строение в пять оконных осей с антресольным, дворовым и цокольным этажами. Здание на момент проведения работ находилось в аварийном состоянии: сохранилась входная калитка с поздним заполнением, проездные ворота не сохранились, надстроенный в конце ХIХ в. флигель был утрачен.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В течение </w:t>
      </w: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2012–2016 гг. </w:t>
      </w: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в рамках максимального восстановления архитектурного облика дома на вторую половину ХIХ в. отреставрированы дворовый фасад и дворовый пристрой. Главной сложностью реализации стало ограничение габаритов домовладения отведенными границами территории, которые за советский период стали вдвое меньше </w:t>
      </w: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первоначальных. </w:t>
      </w: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Компанией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ActiveSaleGroup</w:t>
      </w: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 на реализацию проекта было потрачено около 140 млн руб.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>Восстановленный объект культурного наследия сохранил все геометрические параметры и художественные характеристики здания, конструктивную схему и историческую архитектурно-планировочную структуру, а также все сохранившиеся несущие стены, сводчатые перекрытия и проемы; внутреннее убранство здания было максимально приближенно к эпохе ХIХ в., помещения украсили подлинными произведениями искусства ХVIII – ХIХ вв.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1847850"/>
            <wp:effectExtent l="19050" t="0" r="9525" b="0"/>
            <wp:docPr id="320" name="Рисунок 3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08" cy="18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1860550"/>
            <wp:effectExtent l="19050" t="0" r="9525" b="0"/>
            <wp:docPr id="322" name="Рисунок 322" descr="Картинки по запросу «Дом Банарце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«Дом Банарцева»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1" cy="18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Рисунок </w:t>
      </w:r>
      <w:r w:rsidR="00F9717D" w:rsidRPr="00F76835">
        <w:rPr>
          <w:rFonts w:ascii="Times New Roman" w:hAnsi="Times New Roman" w:cs="Times New Roman"/>
          <w:sz w:val="24"/>
          <w:szCs w:val="24"/>
          <w:lang w:bidi="ru-RU"/>
        </w:rPr>
        <w:t>17</w:t>
      </w:r>
      <w:r w:rsidR="00031B00"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. </w:t>
      </w:r>
      <w:r w:rsidRPr="00F76835">
        <w:rPr>
          <w:rFonts w:ascii="Times New Roman" w:hAnsi="Times New Roman" w:cs="Times New Roman"/>
          <w:sz w:val="24"/>
          <w:szCs w:val="24"/>
        </w:rPr>
        <w:t>«Дом Банарцева» до и после реставрации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27" w:rsidRPr="00F76835" w:rsidRDefault="00924D27" w:rsidP="00F76835">
      <w:pPr>
        <w:pStyle w:val="ac"/>
        <w:ind w:firstLine="709"/>
        <w:jc w:val="both"/>
        <w:rPr>
          <w:szCs w:val="24"/>
        </w:rPr>
      </w:pPr>
      <w:bookmarkStart w:id="6" w:name="_Toc422163500"/>
      <w:bookmarkStart w:id="7" w:name="_Toc422240216"/>
      <w:bookmarkStart w:id="8" w:name="_Toc422318123"/>
      <w:bookmarkStart w:id="9" w:name="_Toc422318538"/>
      <w:bookmarkStart w:id="10" w:name="_Toc422739293"/>
      <w:bookmarkStart w:id="11" w:name="_Toc423102759"/>
      <w:r w:rsidRPr="00F76835">
        <w:rPr>
          <w:b w:val="0"/>
          <w:szCs w:val="24"/>
        </w:rPr>
        <w:t>Еще одним проектом ГЧП Республики Татарстан, реализованным полностью на частные средства, стала реставрация памятника истории и культуры народов РФ «Жилой дом архитектора М.П. Коринфского»</w:t>
      </w:r>
      <w:bookmarkEnd w:id="6"/>
      <w:bookmarkEnd w:id="7"/>
      <w:bookmarkEnd w:id="8"/>
      <w:bookmarkEnd w:id="9"/>
      <w:bookmarkEnd w:id="10"/>
      <w:bookmarkEnd w:id="11"/>
      <w:r w:rsidRPr="00F76835">
        <w:rPr>
          <w:b w:val="0"/>
          <w:szCs w:val="24"/>
        </w:rPr>
        <w:t>, расположенного в охранной зоне Казанского Кремля. Первоначально построенное в конце ХVIII в. по проекту В.И. Кафтырева каменное сооружение после пожара 1774 г.в числе других сформировало новый архитектурный облик города. Нынешний вид здания формировался на протяжении долгой строительной истории: начиная с середины XIX в. к нему добавлялись многочисленные пристройки и надстройки, которые соединялись с основным объемом дома с помощью перелицовок и объединения под одну крышу, впоследствии здание было изменено до неузнаваемости, включая планировочную структуру. На момент проведения работ дом находился в аварийном состоянии.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>В течение 2012–2016 гг. был максимально восстановлен архитектурный облик дома на вторую половину XIX в., включая утраченные архитектурные элементы по главным фасадам, воссоздан демонтированный дворовый пристрой,</w:t>
      </w: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помещения украсили подлинные произведения искусства ХIХ в. </w:t>
      </w: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Компанией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ActiveSaleGroup</w:t>
      </w:r>
      <w:r w:rsidRPr="00F76835">
        <w:rPr>
          <w:rFonts w:ascii="Times New Roman" w:hAnsi="Times New Roman" w:cs="Times New Roman"/>
          <w:sz w:val="24"/>
          <w:szCs w:val="24"/>
          <w:lang w:bidi="ru-RU"/>
        </w:rPr>
        <w:t xml:space="preserve"> на реставрационные работы потрачено более 92 млн руб.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На сегодняшний день оба </w:t>
      </w:r>
      <w:r w:rsidRPr="00F76835">
        <w:rPr>
          <w:rFonts w:ascii="Times New Roman" w:hAnsi="Times New Roman" w:cs="Times New Roman"/>
          <w:sz w:val="24"/>
          <w:szCs w:val="24"/>
        </w:rPr>
        <w:t xml:space="preserve">сохраненных </w:t>
      </w: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для потомков </w:t>
      </w:r>
      <w:r w:rsidRPr="00F76835">
        <w:rPr>
          <w:rFonts w:ascii="Times New Roman" w:hAnsi="Times New Roman" w:cs="Times New Roman"/>
          <w:sz w:val="24"/>
          <w:szCs w:val="24"/>
        </w:rPr>
        <w:t>объекта культурного наследия</w:t>
      </w:r>
      <w:r w:rsidRPr="00F76835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используются в качестве Дома приемов для проведения встреч правительственных делегаций, дипломатических переговоров, конференций. </w:t>
      </w:r>
      <w:r w:rsidRPr="00F768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Предполагаемый срок окупаемости инвестиций двух проектов ГЧП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– 10–15 лет после ввода объекта в эксплуатацию.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56047" cy="2068327"/>
            <wp:effectExtent l="19050" t="0" r="6203" b="0"/>
            <wp:docPr id="323" name="Рисунок 323" descr="k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8" cy="206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8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7504" cy="2062716"/>
            <wp:effectExtent l="19050" t="0" r="0" b="0"/>
            <wp:docPr id="325" name="Рисунок 325" descr="В Казани восстановлен «Дом архитектора Коринфск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Казани восстановлен «Дом архитектора Коринфского»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02" cy="206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D27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683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31B00" w:rsidRPr="00F76835">
        <w:rPr>
          <w:rFonts w:ascii="Times New Roman" w:hAnsi="Times New Roman" w:cs="Times New Roman"/>
          <w:sz w:val="24"/>
          <w:szCs w:val="24"/>
        </w:rPr>
        <w:t xml:space="preserve">18. </w:t>
      </w:r>
      <w:r w:rsidRPr="00F76835">
        <w:rPr>
          <w:rFonts w:ascii="Times New Roman" w:hAnsi="Times New Roman" w:cs="Times New Roman"/>
          <w:sz w:val="24"/>
          <w:szCs w:val="24"/>
        </w:rPr>
        <w:t>«Жилой дом архитектора М.П. Коринфского»</w:t>
      </w:r>
    </w:p>
    <w:p w:rsidR="00EB5293" w:rsidRPr="00F76835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t xml:space="preserve">На основе анализа данных мы видим, что наиболее активная реализация проектов ГЧП в сфере сохранения культурного наследия происходит в Московской области, республике Татарстан,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Калужской, Архангельской и Липецкой областях.</w:t>
      </w:r>
    </w:p>
    <w:p w:rsidR="00924D27" w:rsidRPr="00F76835" w:rsidRDefault="00924D27" w:rsidP="00F768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в сфере культуры</w:t>
      </w:r>
      <w:r w:rsidR="001D472D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ГЧП понимается взаимовыгодное сотрудничество органов государственной</w:t>
      </w:r>
      <w:r w:rsidR="001D472D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власти, органов местного самоуправления (публичный партнер), частных, некоммерческих организаций (частный партнер), которое обеспечивает эффективное выполнение задач публично-правовых образований в сфере культуры путем привлечения частных ресурсов для создания, реконструкции, управления, содержания объектов культуры, реставрации и приспособления к современному использованию объектов культурного наследия, предоставления услуг в сфере культуры.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Имена меценатов прошлого (Саввы Морозова, Сергея Дягилева) были на слуху современников,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память о них дошла и до наших времён, но в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XXI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в. лишь единицы российских бизнесменов готовы вкладывать средства в памятники культуры. Это рискованный сектор, прибыль от которого носит отложенный характер, и за время действия закона о государственном частном партнёрстве в российской культуре реализовано всего несколь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 десятков проектов, и это при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том, что уникальных объектов культурного наследия, нуждающихся в реставрации, в сотни раз больше. «Заставить российский бизнес быть социально ответственным невозможно, можно лишь заинтересовать, показав явное преимущество и хотя бы отдалённую перспективу»,– отметили депутаты Государственной Думы Федерального Собрания РФ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из Комитета по культуре</w:t>
      </w:r>
      <w:r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21"/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4D27" w:rsidRPr="00F76835" w:rsidRDefault="00924D27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причинами отказа бизнеса от сотрудничества с государством в сфере культуры, на наш взгляд, являются отсутствие гарантии по возврату вложенных инвестиций</w:t>
      </w:r>
      <w:r w:rsidR="001D472D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(вероятные изменения показателей проекта, прежде всего, связанные с доходами и расходами</w:t>
      </w:r>
      <w:r w:rsidRPr="00F76835">
        <w:rPr>
          <w:rFonts w:ascii="Times New Roman" w:hAnsi="Times New Roman" w:cs="Times New Roman"/>
          <w:iCs/>
          <w:spacing w:val="4"/>
          <w:sz w:val="24"/>
          <w:szCs w:val="24"/>
        </w:rPr>
        <w:t>,</w:t>
      </w:r>
      <w:r w:rsidR="00E376E4" w:rsidRPr="00F76835">
        <w:rPr>
          <w:rFonts w:ascii="Times New Roman" w:hAnsi="Times New Roman" w:cs="Times New Roman"/>
          <w:iCs/>
          <w:spacing w:val="4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>несвоевременные поставки)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недостаточная правовая защита имущественных прав инвестора, </w:t>
      </w:r>
      <w:r w:rsidRPr="00F76835">
        <w:rPr>
          <w:rFonts w:ascii="Times New Roman" w:hAnsi="Times New Roman" w:cs="Times New Roman"/>
          <w:sz w:val="24"/>
          <w:szCs w:val="24"/>
        </w:rPr>
        <w:t>несвоевременное финансирование со стороны публичного партнера, изменчивость спроса,</w:t>
      </w:r>
      <w:r w:rsidR="00E376E4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 xml:space="preserve">дополнительные расходы,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однако и государство несёт много рисков и главный из них - потерять объект в том виде, в котором он существовал изначально.</w:t>
      </w:r>
      <w:r w:rsidR="00E376E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Несмотря на риски и сравнительно небольшое количество реализованных проектов в сфере сохранения культурного наследия, на наш взгляд, механизм ГЧП является достаточно эффективным.</w:t>
      </w:r>
      <w:r w:rsidR="00E376E4"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доказано зарубежным и отечественным опытом.</w:t>
      </w: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1556E" w:rsidRDefault="0061556E" w:rsidP="0061556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B5293" w:rsidRPr="00F76835" w:rsidRDefault="00EB5293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DBF" w:rsidRPr="00EB5293" w:rsidRDefault="00422DBF" w:rsidP="00EB52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B529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Заключение</w:t>
      </w: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81164" w:rsidRPr="00F76835" w:rsidRDefault="00422DBF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color w:val="000000" w:themeColor="text1"/>
        </w:rPr>
      </w:pPr>
      <w:r w:rsidRPr="00F76835">
        <w:rPr>
          <w:color w:val="000000" w:themeColor="text1"/>
        </w:rPr>
        <w:t xml:space="preserve">Таким образом, мы видим, что в современных условиях социально-экономического развития эффективным </w:t>
      </w:r>
      <w:r w:rsidR="00F81164" w:rsidRPr="00F76835">
        <w:rPr>
          <w:color w:val="000000" w:themeColor="text1"/>
        </w:rPr>
        <w:t>инструментом развития государственной, региональной и муниципальной инфраструктур, привлечения инвестиций, повышения качества оказываемых услуг населению является механизм государственно-частного партнерства, позволяющий объединить возможности власти и бизнеса, принимая солидарную ответственность за те сферы, от которых напрямую зависит качество жизни людей.</w:t>
      </w:r>
    </w:p>
    <w:p w:rsidR="00F81164" w:rsidRPr="00F76835" w:rsidRDefault="00F81164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Государственно-частное партнерство (ГЧП) – 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 основании соглашения о государственно-частном партнерстве, соглашения о муниципально-частном партнерстве, заключенных в целях привлечения в экономику частных инвестиций, обеспечения органами государственной власти и органами местного самоуправления доступности товаров, работ, услуг и повышения их качества. </w:t>
      </w:r>
    </w:p>
    <w:p w:rsidR="00A6330C" w:rsidRPr="00F76835" w:rsidRDefault="00F81164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color w:val="000000" w:themeColor="text1"/>
        </w:rPr>
      </w:pPr>
      <w:r w:rsidRPr="00F76835">
        <w:rPr>
          <w:color w:val="000000" w:themeColor="text1"/>
        </w:rPr>
        <w:t>З</w:t>
      </w:r>
      <w:r w:rsidR="00422DBF" w:rsidRPr="00F76835">
        <w:rPr>
          <w:color w:val="000000" w:themeColor="text1"/>
        </w:rPr>
        <w:t>арубежный опыт использования механизмов государственно-частного партнерства разнообразен, что объясняется длительной историей существования и развития данного инструмента в зарубежных государствах. Предпосылки развития государственно-частного партнерства в каждом государстве носят свой особый, специфический характер, что обуславливается историей государства или региона (области, конкретного города), уровнем социально-экономического развития страны, уровнем жизни населения и другими факторами. </w:t>
      </w:r>
      <w:r w:rsidR="00A6330C" w:rsidRPr="00F76835">
        <w:rPr>
          <w:color w:val="000000" w:themeColor="text1"/>
        </w:rPr>
        <w:t xml:space="preserve">Анализируя богатый опыт ГЧП зарубежных стран в сфере культуры, мы видим, что наиболее эффективной является концессионная схема, </w:t>
      </w:r>
      <w:r w:rsidR="00A6330C" w:rsidRPr="00F76835">
        <w:rPr>
          <w:iCs/>
          <w:color w:val="000000" w:themeColor="text1"/>
          <w:spacing w:val="4"/>
        </w:rPr>
        <w:t>классическими примерами зарубежных проектов являются реконструкция/реставрация/строительство.</w:t>
      </w:r>
    </w:p>
    <w:p w:rsidR="00422DBF" w:rsidRPr="00F76835" w:rsidRDefault="00F81164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color w:val="000000" w:themeColor="text1"/>
        </w:rPr>
      </w:pPr>
      <w:r w:rsidRPr="00F76835">
        <w:rPr>
          <w:color w:val="000000" w:themeColor="text1"/>
        </w:rPr>
        <w:t xml:space="preserve">В Российской Федерации развитию ГЧП в современных условиях уделяется большое значение, </w:t>
      </w:r>
      <w:r w:rsidRPr="00F76835">
        <w:rPr>
          <w:bCs/>
          <w:color w:val="000000" w:themeColor="text1"/>
        </w:rPr>
        <w:t xml:space="preserve">показатель «Уровень развития ГЧП» </w:t>
      </w:r>
      <w:r w:rsidRPr="00F76835">
        <w:rPr>
          <w:color w:val="000000" w:themeColor="text1"/>
        </w:rPr>
        <w:t>используется при определении текущих показателей эффективности деятельности высших должностных лиц субъектов Российской Федерации, а также является составной частью </w:t>
      </w:r>
      <w:r w:rsidRPr="00F76835">
        <w:rPr>
          <w:bCs/>
          <w:color w:val="000000" w:themeColor="text1"/>
        </w:rPr>
        <w:t xml:space="preserve">Национального рейтинга состояния инвестиционного климата в субъектах РФ. </w:t>
      </w:r>
      <w:r w:rsidRPr="00F76835">
        <w:rPr>
          <w:color w:val="000000" w:themeColor="text1"/>
        </w:rPr>
        <w:t xml:space="preserve">Внедрение данного механизма, по мнению </w:t>
      </w:r>
      <w:r w:rsidR="00B714DB" w:rsidRPr="00F76835">
        <w:rPr>
          <w:color w:val="000000" w:themeColor="text1"/>
        </w:rPr>
        <w:t xml:space="preserve">Правительства РФ </w:t>
      </w:r>
      <w:r w:rsidRPr="00F76835">
        <w:rPr>
          <w:color w:val="000000" w:themeColor="text1"/>
        </w:rPr>
        <w:t xml:space="preserve">позволит </w:t>
      </w:r>
      <w:r w:rsidR="00B714DB" w:rsidRPr="00F76835">
        <w:rPr>
          <w:color w:val="000000" w:themeColor="text1"/>
        </w:rPr>
        <w:t>достичь стратегических ориентиров</w:t>
      </w:r>
      <w:r w:rsidRPr="00F76835">
        <w:rPr>
          <w:color w:val="000000" w:themeColor="text1"/>
        </w:rPr>
        <w:t>, определенны</w:t>
      </w:r>
      <w:r w:rsidR="00B714DB" w:rsidRPr="00F76835">
        <w:rPr>
          <w:color w:val="000000" w:themeColor="text1"/>
        </w:rPr>
        <w:t>х</w:t>
      </w:r>
      <w:r w:rsidRPr="00F76835">
        <w:rPr>
          <w:color w:val="000000" w:themeColor="text1"/>
        </w:rPr>
        <w:t xml:space="preserve"> в Стратегии 2020</w:t>
      </w:r>
      <w:r w:rsidR="00B714DB" w:rsidRPr="00F76835">
        <w:rPr>
          <w:rStyle w:val="a7"/>
          <w:color w:val="000000" w:themeColor="text1"/>
        </w:rPr>
        <w:footnoteReference w:id="22"/>
      </w:r>
      <w:r w:rsidRPr="00F76835">
        <w:rPr>
          <w:color w:val="000000" w:themeColor="text1"/>
        </w:rPr>
        <w:t>: рост благосостояния и качества жизни населения за счет динамичного развития и повышения конкурентоспособности экономики региона посредством усиления инновационной компоненты экономического роста на основе реализации долгосрочных стратегий развития ключевых секторов экономики</w:t>
      </w:r>
      <w:r w:rsidR="00B714DB" w:rsidRPr="00F76835">
        <w:rPr>
          <w:color w:val="000000" w:themeColor="text1"/>
        </w:rPr>
        <w:t>.</w:t>
      </w:r>
    </w:p>
    <w:p w:rsidR="00A6330C" w:rsidRPr="00F76835" w:rsidRDefault="00A6330C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color w:val="000000" w:themeColor="text1"/>
        </w:rPr>
      </w:pPr>
      <w:r w:rsidRPr="00F76835">
        <w:rPr>
          <w:color w:val="000000" w:themeColor="text1"/>
        </w:rPr>
        <w:t xml:space="preserve">С каждым десятилетием в России сокращается количество объектов культурного наследия: по различным оценкам, состояние от 24 до 28% находящихся под государственной охраной памятников истории и культуры характеризуется как неудовлетворительное, в отношении большей их части необходимо принятие срочных мер по спасению от разрушения, повреждения и уничтожения. </w:t>
      </w:r>
      <w:r w:rsidRPr="00F76835">
        <w:rPr>
          <w:rStyle w:val="a4"/>
          <w:b w:val="0"/>
          <w:color w:val="000000" w:themeColor="text1"/>
        </w:rPr>
        <w:t>За последние 10 лет в нашей стране погибло более 2,5 тыс. памятников, ежегодные утраты составляют 150-200 объектов</w:t>
      </w:r>
      <w:r w:rsidRPr="00F76835">
        <w:rPr>
          <w:rStyle w:val="a7"/>
          <w:b/>
          <w:bCs/>
          <w:color w:val="000000" w:themeColor="text1"/>
        </w:rPr>
        <w:footnoteReference w:id="23"/>
      </w:r>
      <w:r w:rsidRPr="00F76835">
        <w:rPr>
          <w:rStyle w:val="a4"/>
          <w:b w:val="0"/>
          <w:color w:val="000000" w:themeColor="text1"/>
        </w:rPr>
        <w:t>, причем, эти цифры отражают лишь данные федерального списка, не включающего памятники региональных и муниципальных реестров</w:t>
      </w:r>
      <w:r w:rsidRPr="00F76835">
        <w:rPr>
          <w:rStyle w:val="a4"/>
          <w:color w:val="000000" w:themeColor="text1"/>
        </w:rPr>
        <w:t>.</w:t>
      </w:r>
      <w:r w:rsidR="00E376E4" w:rsidRPr="00F76835">
        <w:rPr>
          <w:rStyle w:val="a4"/>
          <w:color w:val="000000" w:themeColor="text1"/>
        </w:rPr>
        <w:t xml:space="preserve"> </w:t>
      </w:r>
      <w:r w:rsidRPr="00F76835">
        <w:rPr>
          <w:color w:val="000000" w:themeColor="text1"/>
        </w:rPr>
        <w:t xml:space="preserve">Сохранение данной тенденции неизбежно приведёт к невосполнимым утратам ценнейшего культурного наследия народов России. Именно </w:t>
      </w:r>
      <w:r w:rsidRPr="00F76835">
        <w:rPr>
          <w:color w:val="000000" w:themeColor="text1"/>
        </w:rPr>
        <w:lastRenderedPageBreak/>
        <w:t>поэтому, на наш взгляд, необходимо использовать положительный опыт зарубежных стран по сохранению объектов культурного наследия, применяя механизмы государственно-частного партнерства.</w:t>
      </w:r>
    </w:p>
    <w:p w:rsidR="00422DBF" w:rsidRPr="00F76835" w:rsidRDefault="00B714DB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Анализируя передовой опыт в сфере сохранения объектов культурного наследия в субъектах Российской Федерации, мы видим, что о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сновными успешно апробированными формами ГЧП в сфере сохранения культурного наследия в РФ являются концессии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контракт жизненного цикла и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. Концессии  – соглашение, заключаемое между государством и частным бизнесом, особенность которого заключается в том, что государство остается полноправным владельцем собственности, но при этом обязует частного партнера в течении определенного времени выполнять функции, оговоренные в соглашении, при этом наделяя бизнес соответствующими правами. В рамках концессионных соглашений в субъектах РФ реализуются различные проекты, финансируемые частично государством и частично частным капиталом.</w:t>
      </w:r>
      <w:r w:rsidR="00E376E4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Контракт жизненного цикла (далее – КЖЦ) – широко распространенная в мировой практике модель реализации инфраструктурных проектов на основе государственно-частного партнерства. Данный формат взаимодействия государства и бизнеса, с одной стороны, не предполагает отказа от бюджетного финансирования (что потенциально интересно для частной стороны) и, с другой стороны, позволяет государству при вложении бюджетных средств быть уверенным в том, что они будут эффективно расходоваться, а создаваемый объект инфраструктуры будет соответствовать установленным функциональным параметрам. 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условиям КЖЦ, инвестор за свой счет проектирует и создает объект, а затем эксплуатирует его в течение всего жизненного цикла, осуществляя ремонт и обслуживание, государство оплачивает услуги, оказываемые с помощью такого объекта. В рамках КЖЦ государство устанавливает функциональные требования к объекту. Инвестор обеспечивает соответствие объекта этим требованиям на протяжении контракта. Если инвестор не выполняет свои обязательства по контракту или выполняет их некачественно, платежи в его пользу уменьшаются. Механизм КЖЦ, закрепленный в 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Постановлении Правительства РФ</w:t>
      </w:r>
      <w:r w:rsidR="00422DBF" w:rsidRPr="00F76835">
        <w:rPr>
          <w:rStyle w:val="a7"/>
          <w:rFonts w:ascii="Times New Roman" w:hAnsi="Times New Roman"/>
          <w:color w:val="000000" w:themeColor="text1"/>
          <w:sz w:val="24"/>
          <w:szCs w:val="24"/>
        </w:rPr>
        <w:footnoteReference w:id="24"/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22DBF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может быть наиболее эффективен, на наш взгляд, в отношении новых объектов культуры, галерей и музеев.</w:t>
      </w:r>
    </w:p>
    <w:p w:rsidR="00A6330C" w:rsidRPr="00F76835" w:rsidRDefault="00A6330C" w:rsidP="00F76835">
      <w:pPr>
        <w:pStyle w:val="aa"/>
        <w:shd w:val="clear" w:color="auto" w:fill="FFFFFF"/>
        <w:spacing w:before="0" w:beforeAutospacing="0" w:after="0" w:afterAutospacing="0"/>
        <w:ind w:right="0" w:firstLine="709"/>
        <w:textAlignment w:val="baseline"/>
        <w:rPr>
          <w:color w:val="000000" w:themeColor="text1"/>
        </w:rPr>
      </w:pPr>
      <w:r w:rsidRPr="00F76835">
        <w:rPr>
          <w:color w:val="000000" w:themeColor="text1"/>
        </w:rPr>
        <w:t>Несмотря на значительные риски при реализации проектов ГЧП в сфере сохранения культурного наследия, на наш взгляд, это достаточно перспективное направление, мощный ресурс для устойчивого развития и качества современной жизни, в т.ч. посредством возможностей развития внутреннего и внешнего туризма.</w:t>
      </w: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1B00" w:rsidRPr="00F76835" w:rsidRDefault="00031B0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Список литературы</w:t>
      </w:r>
      <w:bookmarkStart w:id="12" w:name="_GoBack"/>
      <w:bookmarkEnd w:id="12"/>
    </w:p>
    <w:p w:rsidR="00003164" w:rsidRPr="00F76835" w:rsidRDefault="00031B0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Нормативно-правовые акты</w:t>
      </w:r>
    </w:p>
    <w:p w:rsidR="00422E70" w:rsidRPr="00F76835" w:rsidRDefault="00422E70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3164" w:rsidRPr="00F76835" w:rsidRDefault="00003164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t xml:space="preserve">Гражданский кодекс Российской Федерации. Части первая, вторая. – Москва: Проспект, 2017. – 624 с. </w:t>
      </w:r>
      <w:r w:rsidR="00422E70" w:rsidRPr="00F76835">
        <w:rPr>
          <w:rFonts w:ascii="Times New Roman" w:eastAsia="Times New Roman" w:hAnsi="Times New Roman" w:cs="Times New Roman"/>
          <w:sz w:val="24"/>
          <w:szCs w:val="24"/>
        </w:rPr>
        <w:t>[Элек</w:t>
      </w:r>
      <w:r w:rsidR="000E1E26" w:rsidRPr="00F76835">
        <w:rPr>
          <w:rFonts w:ascii="Times New Roman" w:eastAsia="Times New Roman" w:hAnsi="Times New Roman" w:cs="Times New Roman"/>
          <w:sz w:val="24"/>
          <w:szCs w:val="24"/>
        </w:rPr>
        <w:t xml:space="preserve">тронный ресурс]. –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 xml:space="preserve">URL: </w:t>
      </w:r>
      <w:hyperlink r:id="rId55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http://base.garant.ru/10164072/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01.02.2018)</w:t>
      </w:r>
    </w:p>
    <w:p w:rsidR="003A60AA" w:rsidRPr="00F76835" w:rsidRDefault="003A60AA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 // Федеральный закон от 13.07.2015 N 224-ФЗ (ред. от 03.07.2016) (с изм. и доп., вступ. в силу с 01.01.2017)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6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http://www.consultant.ru/document/cons_doc_LAW_182660/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обращения15.01.2018)</w:t>
      </w:r>
    </w:p>
    <w:p w:rsidR="00816926" w:rsidRPr="00F76835" w:rsidRDefault="00816926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меценатской деятельности // Федеральный закон от 04.11.2014 N 327-ФЗ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hyperlink r:id="rId57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http://www.consultant.ru/document/cons_doc_LAW_170477/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14.12.2017)</w:t>
      </w:r>
    </w:p>
    <w:p w:rsidR="00003164" w:rsidRPr="00F76835" w:rsidRDefault="00816926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eastAsia="Times New Roman" w:hAnsi="Times New Roman" w:cs="Times New Roman"/>
          <w:sz w:val="24"/>
          <w:szCs w:val="24"/>
        </w:rPr>
        <w:t>О концессионных соглашениях // Федеральный закон от 21.07.2005 N 115-ФЗ (ред. от 31.12.2017)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 xml:space="preserve">[Электронный ресурс]. – URL: </w:t>
      </w:r>
      <w:hyperlink r:id="rId58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http://www.consultant.ru/document/cons_doc_LAW_54572/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17.12.2017)</w:t>
      </w:r>
    </w:p>
    <w:p w:rsidR="00816926" w:rsidRPr="00F76835" w:rsidRDefault="00816926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 объектах культурного наследия (памятниках истории и культуры) народов Российской Федерации //Федеральный закон от 25.06.2002 N 73-ФЗ (ред. от 29.12.2017).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 xml:space="preserve">[Электронный ресурс]. – URL: </w:t>
      </w:r>
      <w:hyperlink r:id="rId59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http://www.consultant.ru/document/cons_doc_LAW_37318/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25.01.2018)</w:t>
      </w:r>
    </w:p>
    <w:p w:rsidR="00003164" w:rsidRPr="00F76835" w:rsidRDefault="00003164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О Концепции долгосрочного социально-экономического развития Российской Федерации на период до 2020 года (вместе с "Концепцией долгосрочного социально-экономического развития Российской Федерации на период до 2020 года") // Распоряжение Правительства РФ от 17.11.2008 N 1662-р (ред. от 10.02.2017)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ресурс].</w:t>
      </w:r>
      <w:r w:rsidR="000E1E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60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URL:</w:t>
        </w:r>
        <w:r w:rsidRPr="00F76835">
          <w:rPr>
            <w:rStyle w:val="a5"/>
            <w:rFonts w:ascii="Times New Roman" w:hAnsi="Times New Roman" w:cs="Times New Roman"/>
            <w:bCs/>
            <w:color w:val="000000" w:themeColor="text1"/>
            <w:kern w:val="36"/>
            <w:sz w:val="24"/>
            <w:szCs w:val="24"/>
          </w:rPr>
          <w:t>http://www.consultant.ru/document/cons_doc_LAW_82134/</w:t>
        </w:r>
      </w:hyperlink>
      <w:r w:rsidRPr="00F76835"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(дата обращения 01.03.2018)</w:t>
      </w:r>
    </w:p>
    <w:p w:rsidR="00003164" w:rsidRPr="00F76835" w:rsidRDefault="00003164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t xml:space="preserve">Об определении случаев заключения контракта жизненного цикла // Постановлении Правительства РФ от 28.11.2013 N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1087 (ред. от 29.12.2015 № 1480). </w:t>
      </w:r>
      <w:r w:rsidRPr="00F76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[Электронный ресурс]. – URL:</w:t>
      </w:r>
      <w:hyperlink r:id="rId61" w:history="1">
        <w:r w:rsidRPr="00F76835">
          <w:rPr>
            <w:rStyle w:val="a5"/>
            <w:rFonts w:ascii="Times New Roman" w:eastAsia="Times New Roman" w:hAnsi="Times New Roman" w:cs="Times New Roman"/>
            <w:sz w:val="24"/>
            <w:szCs w:val="24"/>
            <w:u w:val="none"/>
          </w:rPr>
          <w:t>http://www.consultant.ru/document/cons_doc_LAW_155054/</w:t>
        </w:r>
      </w:hyperlink>
      <w:r w:rsidRPr="00F76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(дата обращения 11.01.2018)</w:t>
      </w:r>
    </w:p>
    <w:p w:rsidR="00003164" w:rsidRPr="00F76835" w:rsidRDefault="00003164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Об утверждении Стратегии государственной культурной политики на период до 2030 года // Распоряжение Правительства РФ от 29.02.2016 N 326-р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hyperlink r:id="rId62" w:history="1">
        <w:r w:rsidRPr="00F76835">
          <w:rPr>
            <w:rStyle w:val="a5"/>
            <w:rFonts w:ascii="Times New Roman" w:hAnsi="Times New Roman" w:cs="Times New Roman"/>
            <w:color w:val="1200D4"/>
            <w:spacing w:val="2"/>
            <w:sz w:val="24"/>
            <w:szCs w:val="24"/>
            <w:u w:val="none"/>
            <w:shd w:val="clear" w:color="auto" w:fill="FFFFFF"/>
          </w:rPr>
          <w:t>http://www.consultant.ru/law/hotdocs/45830.html/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06.02.2018)</w:t>
      </w:r>
    </w:p>
    <w:p w:rsidR="00816926" w:rsidRDefault="00816926" w:rsidP="00F76835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«Основные направления деятельности Правительства Российской Федерации на период до 2018 года» (утв. Правительством РФ 31.01.2013, в ред.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от 14.05.2015</w:t>
      </w: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</w:t>
      </w:r>
      <w:r w:rsidR="000E1E26" w:rsidRPr="00F76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URL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hyperlink r:id="rId63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http://www.consultant.ru/document/cons_doc_LAW_141585/</w:t>
        </w:r>
      </w:hyperlink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(дата обращения 20.12.2017)</w:t>
      </w:r>
    </w:p>
    <w:p w:rsidR="00EB5293" w:rsidRPr="00F76835" w:rsidRDefault="00EB5293" w:rsidP="00EB529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31B00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Электронные ресурсы</w:t>
      </w:r>
    </w:p>
    <w:p w:rsidR="00B17022" w:rsidRPr="00F76835" w:rsidRDefault="00B17022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7022" w:rsidRPr="00F76835" w:rsidRDefault="00B17022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t>Губернаторская программа «Усадьбы Подмосковья»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URL:</w:t>
      </w:r>
      <w:hyperlink r:id="rId64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http://mosreg.ru/seychas-v-rabote/gosudarstvennye-programmy/programma-usadby-podmoskovya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обращения13.12.2017)</w:t>
      </w:r>
    </w:p>
    <w:p w:rsidR="00687DD0" w:rsidRPr="00F76835" w:rsidRDefault="00687DD0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Декларация тысячелетия ООН [Электронный</w:t>
      </w:r>
      <w:r w:rsidR="000E1E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ресурс]. –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URL: </w:t>
      </w:r>
      <w:hyperlink r:id="rId65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http://www.un.org/ru/documents/decl_conv/declarations/summitdecl.shtml</w:t>
        </w:r>
      </w:hyperlink>
      <w:r w:rsidR="000E1E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ата обращения 26.10.2017</w:t>
      </w:r>
      <w:r w:rsidR="000E1E26"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87DD0" w:rsidRPr="00F76835" w:rsidRDefault="00687DD0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Style w:val="citation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76835">
        <w:rPr>
          <w:rStyle w:val="citation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Федерации. </w:t>
      </w:r>
      <w:r w:rsidRPr="00F76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[Электронный ресурс]. – URL</w:t>
      </w:r>
      <w:r w:rsidRPr="00F76835">
        <w:rPr>
          <w:rStyle w:val="citation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hyperlink r:id="rId66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https://www.mkrf.ru/ais-egrkn/</w:t>
        </w:r>
      </w:hyperlink>
      <w:r w:rsidRPr="00F76835">
        <w:rPr>
          <w:rStyle w:val="citation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(дата обращения 12.01.2018)</w:t>
      </w:r>
    </w:p>
    <w:p w:rsidR="00B17022" w:rsidRPr="00F76835" w:rsidRDefault="00B17022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Style w:val="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Материалы парламентских слушаний. Парламентский час от 25.06.2017. </w:t>
      </w:r>
      <w:r w:rsidRPr="00F768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[Электронный ресурс]. – URL: </w:t>
      </w:r>
      <w:hyperlink r:id="rId67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https://www.youtube.com/watch?v=2-_4rnXLlrM</w:t>
        </w:r>
      </w:hyperlink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27.12.2017)</w:t>
      </w:r>
    </w:p>
    <w:p w:rsidR="00B17022" w:rsidRPr="00F76835" w:rsidRDefault="00B17022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lastRenderedPageBreak/>
        <w:t>Мона Лиза в п</w:t>
      </w:r>
      <w:r w:rsidR="000E1E26" w:rsidRPr="00F76835">
        <w:rPr>
          <w:rFonts w:ascii="Times New Roman" w:hAnsi="Times New Roman" w:cs="Times New Roman"/>
          <w:sz w:val="24"/>
          <w:szCs w:val="24"/>
        </w:rPr>
        <w:t xml:space="preserve">роекте // Российская газета. </w:t>
      </w:r>
      <w:r w:rsidRPr="00F76835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="000E1E26" w:rsidRPr="00F76835">
        <w:rPr>
          <w:rFonts w:ascii="Times New Roman" w:hAnsi="Times New Roman" w:cs="Times New Roman"/>
          <w:sz w:val="24"/>
          <w:szCs w:val="24"/>
        </w:rPr>
        <w:t xml:space="preserve">. – </w:t>
      </w:r>
      <w:hyperlink r:id="rId68" w:history="1"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URL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: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vegaslex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analytics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publications</w:t>
        </w:r>
        <w:r w:rsidR="000E1E26" w:rsidRPr="00F76835">
          <w:rPr>
            <w:rStyle w:val="a5"/>
            <w:rFonts w:ascii="Times New Roman" w:hAnsi="Times New Roman" w:cs="Times New Roman"/>
            <w:sz w:val="24"/>
            <w:szCs w:val="24"/>
          </w:rPr>
          <w:t>/58927/ (дата обращения 21.11.2017</w:t>
        </w:r>
      </w:hyperlink>
      <w:r w:rsidR="000E1E26" w:rsidRPr="00F76835">
        <w:rPr>
          <w:rFonts w:ascii="Times New Roman" w:hAnsi="Times New Roman" w:cs="Times New Roman"/>
          <w:sz w:val="24"/>
          <w:szCs w:val="24"/>
        </w:rPr>
        <w:t>)</w:t>
      </w:r>
    </w:p>
    <w:p w:rsidR="00B17022" w:rsidRPr="00F76835" w:rsidRDefault="00B17022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создании рабочей группы по развитию государственно-частного партнерства в сфере культуры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hyperlink r:id="rId69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https://www.mkrf.ru/documents/o-sozdanii-rabochey-gruppy-po-razvitiyu-gosudarstvenno-chastnogo-partnerstva-v-sfere-kultury/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20.01.2018)</w:t>
      </w:r>
    </w:p>
    <w:p w:rsidR="00B17022" w:rsidRPr="00F76835" w:rsidRDefault="00B17022" w:rsidP="00F76835">
      <w:pPr>
        <w:pStyle w:val="a8"/>
        <w:numPr>
          <w:ilvl w:val="0"/>
          <w:numId w:val="6"/>
        </w:numPr>
        <w:ind w:left="0" w:right="0" w:firstLine="709"/>
        <w:rPr>
          <w:rFonts w:ascii="Times New Roman" w:hAnsi="Times New Roman"/>
          <w:color w:val="000000" w:themeColor="text1"/>
        </w:rPr>
      </w:pPr>
      <w:r w:rsidRPr="00F76835">
        <w:rPr>
          <w:rFonts w:ascii="Times New Roman" w:hAnsi="Times New Roman"/>
          <w:color w:val="000000" w:themeColor="text1"/>
        </w:rPr>
        <w:t>Опыт применения ГЧП в зарубежных странах</w:t>
      </w:r>
      <w:r w:rsidR="000E1E26" w:rsidRPr="00F76835">
        <w:rPr>
          <w:rFonts w:ascii="Times New Roman" w:hAnsi="Times New Roman"/>
          <w:color w:val="000000" w:themeColor="text1"/>
        </w:rPr>
        <w:t xml:space="preserve"> </w:t>
      </w:r>
      <w:r w:rsidRPr="00F76835">
        <w:rPr>
          <w:rFonts w:ascii="Times New Roman" w:hAnsi="Times New Roman"/>
          <w:color w:val="000000" w:themeColor="text1"/>
        </w:rPr>
        <w:t>[Электронный ресурс].</w:t>
      </w:r>
      <w:r w:rsidR="000E1E26" w:rsidRPr="00F76835">
        <w:rPr>
          <w:rFonts w:ascii="Times New Roman" w:eastAsia="Times New Roman" w:hAnsi="Times New Roman"/>
        </w:rPr>
        <w:t xml:space="preserve"> – URL</w:t>
      </w:r>
      <w:r w:rsidRPr="00F76835">
        <w:rPr>
          <w:rFonts w:ascii="Times New Roman" w:hAnsi="Times New Roman"/>
          <w:color w:val="000000" w:themeColor="text1"/>
        </w:rPr>
        <w:t>:http://psihdocs.ru/opit-primeneniya-gchp-v-zarubejnih-stranah.html (дата обращения 26.10.2017)</w:t>
      </w:r>
    </w:p>
    <w:p w:rsidR="00B17022" w:rsidRPr="00F76835" w:rsidRDefault="00B17022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Style w:val="citatio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Перечень поручений по итогам совместного заседания Госсовета и Совета по культуре и искусству.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URL:</w:t>
      </w:r>
      <w:hyperlink r:id="rId70" w:history="1">
        <w:r w:rsidRPr="00F76835">
          <w:rPr>
            <w:rStyle w:val="a5"/>
            <w:rFonts w:ascii="Times New Roman" w:hAnsi="Times New Roman" w:cs="Times New Roman"/>
            <w:sz w:val="24"/>
            <w:szCs w:val="24"/>
            <w:u w:val="none"/>
          </w:rPr>
          <w:t>http://www.kremlin.ru/acts/assignments/orders/47511</w:t>
        </w:r>
      </w:hyperlink>
      <w:r w:rsidRPr="00F76835">
        <w:rPr>
          <w:rFonts w:ascii="Times New Roman" w:hAnsi="Times New Roman" w:cs="Times New Roman"/>
          <w:sz w:val="24"/>
          <w:szCs w:val="24"/>
        </w:rPr>
        <w:t xml:space="preserve"> (дата обращения 14.01.2018)</w:t>
      </w:r>
    </w:p>
    <w:p w:rsidR="00687DD0" w:rsidRPr="00F76835" w:rsidRDefault="00687DD0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835">
        <w:rPr>
          <w:rFonts w:ascii="Times New Roman" w:hAnsi="Times New Roman" w:cs="Times New Roman"/>
          <w:sz w:val="24"/>
          <w:szCs w:val="24"/>
        </w:rPr>
        <w:t>Центральный совет Всероссийского общества</w:t>
      </w:r>
      <w:r w:rsidR="005530AA" w:rsidRPr="00F76835">
        <w:rPr>
          <w:rFonts w:ascii="Times New Roman" w:hAnsi="Times New Roman" w:cs="Times New Roman"/>
          <w:sz w:val="24"/>
          <w:szCs w:val="24"/>
        </w:rPr>
        <w:t xml:space="preserve"> </w:t>
      </w:r>
      <w:r w:rsidRPr="00F76835">
        <w:rPr>
          <w:rFonts w:ascii="Times New Roman" w:hAnsi="Times New Roman" w:cs="Times New Roman"/>
          <w:sz w:val="24"/>
          <w:szCs w:val="24"/>
        </w:rPr>
        <w:t xml:space="preserve">охраны памятников истории и культуры. </w:t>
      </w:r>
      <w:r w:rsidRPr="00F76835">
        <w:rPr>
          <w:rFonts w:ascii="Times New Roman" w:eastAsia="Times New Roman" w:hAnsi="Times New Roman" w:cs="Times New Roman"/>
          <w:sz w:val="24"/>
          <w:szCs w:val="24"/>
        </w:rPr>
        <w:t>[Электронный ресурс]. – URL</w:t>
      </w:r>
      <w:r w:rsidRPr="00F76835">
        <w:rPr>
          <w:rFonts w:ascii="Times New Roman" w:hAnsi="Times New Roman" w:cs="Times New Roman"/>
          <w:sz w:val="24"/>
          <w:szCs w:val="24"/>
        </w:rPr>
        <w:t>:http://www.voopik.ru/our-heritage/status-cultural-heritage/. (дата обращения 24.11.2017)</w:t>
      </w:r>
    </w:p>
    <w:p w:rsidR="00687DD0" w:rsidRPr="00F76835" w:rsidRDefault="00687DD0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Analytical research to study the experience of PPP in the RF // Project Good governance and cooperation - response to common challenges in public</w:t>
      </w:r>
      <w:r w:rsidR="000E1E26"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finance [Электронный ресурс]. –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hyperlink r:id="rId71" w:history="1">
        <w:r w:rsidRPr="00F76835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n-US"/>
          </w:rPr>
          <w:t>URL:http://ru-lt-pl.minfin39.ru/wp-content/uploads/2015/06/10.1.-analiz-i-izuchenie-opyta-gchp.pdf</w:t>
        </w:r>
      </w:hyperlink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(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дата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обращения</w:t>
      </w:r>
      <w:r w:rsidRPr="00F768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10.02.2018)</w:t>
      </w:r>
    </w:p>
    <w:p w:rsidR="00687DD0" w:rsidRPr="00F76835" w:rsidRDefault="00687DD0" w:rsidP="00F76835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F768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Council Directive 92/50/EEC of 18 June 1992; Council Directive 93/36/EEC, 93/37/EEC, 93/38/EEC of 14 June 1993; Directive 91/440/EEC of 29 July 1991, Directive 96/92/EEC of 19 December 1996; Green Paper on Public-Private Partnerships and Community Law on Public Contractsand Concessions. Brussels. 30.4.2004.</w:t>
      </w:r>
    </w:p>
    <w:p w:rsidR="00687DD0" w:rsidRPr="00F76835" w:rsidRDefault="00687DD0" w:rsidP="00F7683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3164" w:rsidRPr="00F76835" w:rsidRDefault="0000316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422DBF" w:rsidRPr="00F76835" w:rsidRDefault="00422DB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336B7F" w:rsidRPr="00F76835" w:rsidRDefault="00336B7F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227124" w:rsidRPr="00F76835" w:rsidRDefault="00227124" w:rsidP="00F76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sectPr w:rsidR="00227124" w:rsidRPr="00F76835" w:rsidSect="00687DD0">
      <w:footerReference w:type="default" r:id="rId72"/>
      <w:footnotePr>
        <w:numRestart w:val="eachPage"/>
      </w:foot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674" w:rsidRDefault="000E6674" w:rsidP="00336B7F">
      <w:pPr>
        <w:spacing w:after="0" w:line="240" w:lineRule="auto"/>
      </w:pPr>
      <w:r>
        <w:separator/>
      </w:r>
    </w:p>
  </w:endnote>
  <w:endnote w:type="continuationSeparator" w:id="1">
    <w:p w:rsidR="000E6674" w:rsidRDefault="000E6674" w:rsidP="00336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4758"/>
    </w:sdtPr>
    <w:sdtContent>
      <w:p w:rsidR="00E376E4" w:rsidRDefault="002C5347">
        <w:pPr>
          <w:pStyle w:val="af5"/>
          <w:jc w:val="right"/>
        </w:pPr>
        <w:fldSimple w:instr=" PAGE   \* MERGEFORMAT ">
          <w:r w:rsidR="0061556E">
            <w:rPr>
              <w:noProof/>
            </w:rPr>
            <w:t>23</w:t>
          </w:r>
        </w:fldSimple>
      </w:p>
    </w:sdtContent>
  </w:sdt>
  <w:p w:rsidR="00E376E4" w:rsidRDefault="00E376E4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674" w:rsidRDefault="000E6674" w:rsidP="00336B7F">
      <w:pPr>
        <w:spacing w:after="0" w:line="240" w:lineRule="auto"/>
      </w:pPr>
      <w:r>
        <w:separator/>
      </w:r>
    </w:p>
  </w:footnote>
  <w:footnote w:type="continuationSeparator" w:id="1">
    <w:p w:rsidR="000E6674" w:rsidRDefault="000E6674" w:rsidP="00336B7F">
      <w:pPr>
        <w:spacing w:after="0" w:line="240" w:lineRule="auto"/>
      </w:pPr>
      <w:r>
        <w:continuationSeparator/>
      </w:r>
    </w:p>
  </w:footnote>
  <w:footnote w:id="2">
    <w:p w:rsidR="009D3BC4" w:rsidRPr="001B7FF0" w:rsidRDefault="009D3BC4" w:rsidP="00207E8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1B7FF0">
        <w:rPr>
          <w:rStyle w:val="a7"/>
          <w:rFonts w:ascii="Times New Roman" w:hAnsi="Times New Roman"/>
          <w:sz w:val="20"/>
          <w:szCs w:val="20"/>
        </w:rPr>
        <w:footnoteRef/>
      </w:r>
      <w:r w:rsidRPr="001B7FF0">
        <w:rPr>
          <w:rStyle w:val="citation"/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Федерации. </w:t>
      </w:r>
      <w:r w:rsidRPr="001B7FF0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1B7FF0">
        <w:rPr>
          <w:rStyle w:val="citation"/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: </w:t>
      </w:r>
      <w:hyperlink r:id="rId1" w:history="1">
        <w:r w:rsidRPr="001B7FF0">
          <w:rPr>
            <w:rStyle w:val="a5"/>
            <w:rFonts w:ascii="Times New Roman" w:hAnsi="Times New Roman"/>
            <w:sz w:val="20"/>
            <w:szCs w:val="20"/>
            <w:shd w:val="clear" w:color="auto" w:fill="FFFFFF"/>
          </w:rPr>
          <w:t>https://www.mkrf.ru/ais-egrkn/</w:t>
        </w:r>
      </w:hyperlink>
      <w:r w:rsidRPr="001B7FF0">
        <w:rPr>
          <w:rStyle w:val="citation"/>
          <w:rFonts w:ascii="Times New Roman" w:hAnsi="Times New Roman"/>
          <w:color w:val="222222"/>
          <w:sz w:val="20"/>
          <w:szCs w:val="20"/>
          <w:shd w:val="clear" w:color="auto" w:fill="FFFFFF"/>
        </w:rPr>
        <w:t xml:space="preserve"> (дата обращения 12.01.2018)</w:t>
      </w:r>
    </w:p>
  </w:footnote>
  <w:footnote w:id="3">
    <w:p w:rsidR="009D3BC4" w:rsidRDefault="009D3BC4" w:rsidP="00207E85">
      <w:pPr>
        <w:pStyle w:val="a8"/>
        <w:ind w:right="-1"/>
      </w:pPr>
      <w:r w:rsidRPr="001B7FF0">
        <w:rPr>
          <w:rStyle w:val="a7"/>
          <w:rFonts w:ascii="Times New Roman" w:hAnsi="Times New Roman"/>
          <w:sz w:val="20"/>
          <w:szCs w:val="20"/>
        </w:rPr>
        <w:footnoteRef/>
      </w:r>
      <w:r w:rsidRPr="001B7FF0">
        <w:rPr>
          <w:rFonts w:ascii="Times New Roman" w:hAnsi="Times New Roman"/>
          <w:sz w:val="20"/>
          <w:szCs w:val="20"/>
        </w:rPr>
        <w:t xml:space="preserve"> Центральный совет Всероссийского обществаохраны памятников истории и культуры. </w:t>
      </w:r>
      <w:r w:rsidRPr="001B7FF0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1B7FF0">
        <w:rPr>
          <w:rFonts w:ascii="Times New Roman" w:hAnsi="Times New Roman"/>
          <w:sz w:val="20"/>
          <w:szCs w:val="20"/>
        </w:rPr>
        <w:t>:http://www.voopik.ru/our-heritage/status-cultural-heritage/. (дата обращения 24.11.2017)</w:t>
      </w:r>
    </w:p>
  </w:footnote>
  <w:footnote w:id="4">
    <w:p w:rsidR="009D3BC4" w:rsidRPr="00E376E4" w:rsidRDefault="009D3BC4" w:rsidP="00E376E4">
      <w:pPr>
        <w:pStyle w:val="a8"/>
        <w:ind w:right="0"/>
        <w:rPr>
          <w:rFonts w:ascii="Times New Roman" w:hAnsi="Times New Roman"/>
          <w:color w:val="000000" w:themeColor="text1"/>
          <w:sz w:val="20"/>
          <w:szCs w:val="20"/>
        </w:rPr>
      </w:pPr>
      <w:r w:rsidRPr="00E376E4">
        <w:rPr>
          <w:rStyle w:val="a7"/>
          <w:rFonts w:ascii="Times New Roman" w:hAnsi="Times New Roman"/>
          <w:color w:val="000000" w:themeColor="text1"/>
          <w:sz w:val="20"/>
          <w:szCs w:val="20"/>
        </w:rPr>
        <w:footnoteRef/>
      </w:r>
      <w:r w:rsidRPr="00E376E4">
        <w:rPr>
          <w:rFonts w:ascii="Times New Roman" w:hAnsi="Times New Roman"/>
          <w:color w:val="000000" w:themeColor="text1"/>
          <w:sz w:val="20"/>
          <w:szCs w:val="20"/>
        </w:rPr>
        <w:t xml:space="preserve"> Декларация тысячелетия ООН [Электронный ресурс]. Режим доступа: URL: </w:t>
      </w:r>
      <w:hyperlink r:id="rId2" w:history="1">
        <w:r w:rsidRPr="00E376E4">
          <w:rPr>
            <w:rStyle w:val="a5"/>
            <w:rFonts w:ascii="Times New Roman" w:hAnsi="Times New Roman"/>
            <w:color w:val="000000" w:themeColor="text1"/>
            <w:sz w:val="20"/>
            <w:szCs w:val="20"/>
            <w:u w:val="none"/>
          </w:rPr>
          <w:t>http://www.un.org/ru/documents/decl_conv/declarations/summitdecl.shtml</w:t>
        </w:r>
      </w:hyperlink>
      <w:r w:rsidRPr="00E376E4">
        <w:rPr>
          <w:rFonts w:ascii="Times New Roman" w:hAnsi="Times New Roman"/>
          <w:color w:val="000000" w:themeColor="text1"/>
          <w:sz w:val="20"/>
          <w:szCs w:val="20"/>
        </w:rPr>
        <w:t xml:space="preserve"> Дата обращения 26.10.2017</w:t>
      </w:r>
    </w:p>
  </w:footnote>
  <w:footnote w:id="5">
    <w:p w:rsidR="009D3BC4" w:rsidRPr="00E376E4" w:rsidRDefault="009D3BC4" w:rsidP="00E376E4">
      <w:pPr>
        <w:pStyle w:val="a8"/>
        <w:ind w:right="0"/>
        <w:rPr>
          <w:rFonts w:ascii="Times New Roman" w:hAnsi="Times New Roman"/>
          <w:color w:val="000000" w:themeColor="text1"/>
          <w:sz w:val="20"/>
          <w:szCs w:val="20"/>
        </w:rPr>
      </w:pPr>
      <w:r w:rsidRPr="00E376E4">
        <w:rPr>
          <w:rStyle w:val="a7"/>
          <w:rFonts w:ascii="Times New Roman" w:hAnsi="Times New Roman"/>
          <w:color w:val="000000" w:themeColor="text1"/>
          <w:sz w:val="20"/>
          <w:szCs w:val="20"/>
        </w:rPr>
        <w:footnoteRef/>
      </w:r>
      <w:r w:rsidRPr="00E376E4">
        <w:rPr>
          <w:rFonts w:ascii="Times New Roman" w:hAnsi="Times New Roman"/>
          <w:color w:val="000000" w:themeColor="text1"/>
          <w:sz w:val="20"/>
          <w:szCs w:val="20"/>
        </w:rPr>
        <w:t>Опыт применения ГЧП в зарубежных странах[Электронный ресурс]. Режим доступа:http://psihdocs.ru/opit-primeneniya-</w:t>
      </w:r>
      <w:r w:rsidR="00E376E4" w:rsidRPr="00E376E4">
        <w:rPr>
          <w:rFonts w:ascii="Times New Roman" w:hAnsi="Times New Roman"/>
          <w:color w:val="000000" w:themeColor="text1"/>
          <w:sz w:val="20"/>
          <w:szCs w:val="20"/>
        </w:rPr>
        <w:t>gchp-v-zarubejnih-stranah.html (д</w:t>
      </w:r>
      <w:r w:rsidRPr="00E376E4">
        <w:rPr>
          <w:rFonts w:ascii="Times New Roman" w:hAnsi="Times New Roman"/>
          <w:color w:val="000000" w:themeColor="text1"/>
          <w:sz w:val="20"/>
          <w:szCs w:val="20"/>
        </w:rPr>
        <w:t>ата обращения 26.10.2017</w:t>
      </w:r>
      <w:r w:rsidR="00E376E4" w:rsidRPr="00E376E4">
        <w:rPr>
          <w:rFonts w:ascii="Times New Roman" w:hAnsi="Times New Roman"/>
          <w:color w:val="000000" w:themeColor="text1"/>
          <w:sz w:val="20"/>
          <w:szCs w:val="20"/>
        </w:rPr>
        <w:t>)</w:t>
      </w:r>
    </w:p>
  </w:footnote>
  <w:footnote w:id="6">
    <w:p w:rsidR="009D3BC4" w:rsidRPr="00E376E4" w:rsidRDefault="009D3BC4" w:rsidP="00E37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</w:pPr>
      <w:r w:rsidRPr="00E376E4">
        <w:rPr>
          <w:rStyle w:val="a7"/>
          <w:rFonts w:ascii="Times New Roman" w:hAnsi="Times New Roman"/>
          <w:color w:val="000000" w:themeColor="text1"/>
          <w:sz w:val="20"/>
          <w:szCs w:val="20"/>
        </w:rPr>
        <w:footnoteRef/>
      </w:r>
      <w:r w:rsidRPr="00E376E4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Council Directive 92/50/EEC of 18 June 1992; Council Directive 93/36/EEC, 93/37/EEC, 93/38/EEC of 14 June 1993; Directive 91/440/EEC of 29 July 1991, Directive 96/92/EEC of 19 December 1996; Green Paper on Public-Private Partnerships and Community Law on Public Contractsand Concessions. Brussels. 30.4.2004.</w:t>
      </w:r>
    </w:p>
  </w:footnote>
  <w:footnote w:id="7">
    <w:p w:rsidR="009D3BC4" w:rsidRPr="00E376E4" w:rsidRDefault="009D3BC4" w:rsidP="00E376E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E376E4">
        <w:rPr>
          <w:rStyle w:val="a7"/>
          <w:rFonts w:ascii="Times New Roman" w:hAnsi="Times New Roman"/>
          <w:color w:val="000000" w:themeColor="text1"/>
          <w:sz w:val="20"/>
          <w:szCs w:val="20"/>
        </w:rPr>
        <w:footnoteRef/>
      </w:r>
      <w:r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>Analytical research to study the experience of PPP in the RF // Project Good governance and cooperation - response to common challenges in public finance [Электронный</w:t>
      </w:r>
      <w:r w:rsidR="00E376E4"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 </w:t>
      </w:r>
      <w:r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en-US"/>
        </w:rPr>
        <w:t xml:space="preserve">ресурс].  </w:t>
      </w:r>
      <w:r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Режим доступа: </w:t>
      </w:r>
      <w:hyperlink r:id="rId3" w:history="1"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URL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: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http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://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ru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lt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pl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.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minfin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39.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ru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/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wp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content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/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uploads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/2015/06/10.1.-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analiz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i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izuchenie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opyta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-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gchp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.</w:t>
        </w:r>
        <w:r w:rsidRPr="00E376E4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  <w:lang w:val="en-US"/>
          </w:rPr>
          <w:t>pdf</w:t>
        </w:r>
      </w:hyperlink>
      <w:r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E376E4"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дата обращения</w:t>
      </w:r>
      <w:r w:rsidR="00E376E4" w:rsidRPr="00E376E4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10.02.2018)</w:t>
      </w:r>
    </w:p>
    <w:p w:rsidR="009D3BC4" w:rsidRPr="006C45FB" w:rsidRDefault="009D3BC4" w:rsidP="00207E85">
      <w:pPr>
        <w:pStyle w:val="a8"/>
        <w:tabs>
          <w:tab w:val="left" w:pos="9638"/>
        </w:tabs>
        <w:ind w:right="-1"/>
        <w:rPr>
          <w:rFonts w:ascii="Times New Roman" w:hAnsi="Times New Roman"/>
          <w:sz w:val="20"/>
          <w:szCs w:val="20"/>
        </w:rPr>
      </w:pPr>
    </w:p>
  </w:footnote>
  <w:footnote w:id="8">
    <w:p w:rsidR="009D3BC4" w:rsidRPr="00422DBF" w:rsidRDefault="009D3BC4" w:rsidP="00422DB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Опыт применения ГЧП в зарубежных странах // [Электронный ресурс] / </w:t>
      </w:r>
      <w:hyperlink r:id="rId4" w:history="1"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URL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: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http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://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www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.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psihdocs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.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ru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/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opit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-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primeneniya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-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gchp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-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v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-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zarubejnih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-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stranah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.</w:t>
        </w:r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  <w:lang w:val="en-US"/>
          </w:rPr>
          <w:t>html</w:t>
        </w:r>
      </w:hyperlink>
      <w:r w:rsidRPr="00422DBF">
        <w:rPr>
          <w:rFonts w:ascii="Times New Roman" w:hAnsi="Times New Roman" w:cs="Times New Roman"/>
          <w:color w:val="000000" w:themeColor="text1"/>
          <w:sz w:val="20"/>
          <w:szCs w:val="20"/>
        </w:rPr>
        <w:t>. Дата обращения 12.10.2017</w:t>
      </w:r>
    </w:p>
  </w:footnote>
  <w:footnote w:id="9">
    <w:p w:rsidR="009D3BC4" w:rsidRPr="00422DBF" w:rsidRDefault="009D3BC4" w:rsidP="00422DB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 w:cs="Times New Roman"/>
          <w:sz w:val="20"/>
          <w:szCs w:val="20"/>
        </w:rPr>
        <w:t xml:space="preserve">Мона Лиза в проекте // Российская газета.  // [Электронный ресурс] / </w:t>
      </w:r>
      <w:hyperlink r:id="rId5" w:history="1"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URL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: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https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://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www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.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vegaslex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.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ru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/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analytics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/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  <w:lang w:val="en-US"/>
          </w:rPr>
          <w:t>publications</w:t>
        </w:r>
        <w:r w:rsidRPr="00422DBF">
          <w:rPr>
            <w:rStyle w:val="a5"/>
            <w:rFonts w:ascii="Times New Roman" w:hAnsi="Times New Roman" w:cs="Times New Roman"/>
            <w:sz w:val="20"/>
            <w:szCs w:val="20"/>
            <w:u w:val="none"/>
          </w:rPr>
          <w:t>/58927/ Дата обращения 21.11.2017</w:t>
        </w:r>
      </w:hyperlink>
    </w:p>
    <w:p w:rsidR="009D3BC4" w:rsidRPr="00422DBF" w:rsidRDefault="009D3BC4" w:rsidP="00207E85">
      <w:pPr>
        <w:pStyle w:val="a8"/>
        <w:ind w:right="-1"/>
        <w:rPr>
          <w:rFonts w:ascii="Times New Roman" w:hAnsi="Times New Roman"/>
          <w:sz w:val="20"/>
          <w:szCs w:val="20"/>
        </w:rPr>
      </w:pPr>
    </w:p>
  </w:footnote>
  <w:footnote w:id="10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«Основные направления деятельности Правительства Российской Федерации на период до 2018 года» (утв. Правительством РФ 31.01.2013, в ред. </w:t>
      </w:r>
      <w:r w:rsidRPr="00422DBF">
        <w:rPr>
          <w:rFonts w:ascii="Times New Roman" w:eastAsia="Times New Roman" w:hAnsi="Times New Roman"/>
          <w:sz w:val="20"/>
          <w:szCs w:val="20"/>
        </w:rPr>
        <w:t>от 14.05.2015</w:t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)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–URL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:</w:t>
      </w:r>
      <w:hyperlink r:id="rId6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  <w:shd w:val="clear" w:color="auto" w:fill="FFFFFF"/>
          </w:rPr>
          <w:t>http://www.consultant.ru/document/cons_doc_LAW_141585/</w:t>
        </w:r>
      </w:hyperlink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(дата обращения 20.12.2017)</w:t>
      </w:r>
    </w:p>
  </w:footnote>
  <w:footnote w:id="11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 // Федеральный закон от 13.07.2015 N 224-ФЗ (ред. от 03.07.2016) (с изм. и доп., вступ. в силу с 01.01.2017)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:</w:t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 </w:t>
      </w:r>
      <w:hyperlink r:id="rId7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http://www.consultant.ru/document/cons_doc_LAW_182660/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обращения15.01.2018)</w:t>
      </w:r>
    </w:p>
  </w:footnote>
  <w:footnote w:id="12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Об объектах культурного наследия (памятниках истории и культуры) народов Российской Федерации //Федеральный закон от 25.06.2002 N 73-ФЗ (ред. от 29.12.2017). </w:t>
      </w:r>
      <w:r w:rsidRPr="00422DBF">
        <w:rPr>
          <w:rFonts w:ascii="Times New Roman" w:eastAsia="Times New Roman" w:hAnsi="Times New Roman"/>
          <w:sz w:val="20"/>
          <w:szCs w:val="20"/>
        </w:rPr>
        <w:t xml:space="preserve">[Электронный ресурс]. – URL: </w:t>
      </w:r>
      <w:hyperlink r:id="rId8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http://www.consultant.ru/document/cons_doc_LAW_37318/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25.01.2018)</w:t>
      </w:r>
    </w:p>
  </w:footnote>
  <w:footnote w:id="13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 меценатской деятельности // Федеральный закон от 04.11.2014 N 327-ФЗ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:</w:t>
      </w:r>
      <w:hyperlink r:id="rId9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http://www.consultant.ru/document/cons_doc_LAW_170477/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14.12.2017)</w:t>
      </w:r>
    </w:p>
  </w:footnote>
  <w:footnote w:id="14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eastAsia="Times New Roman" w:hAnsi="Times New Roman"/>
          <w:sz w:val="20"/>
          <w:szCs w:val="20"/>
        </w:rPr>
        <w:t>О концессионных соглашениях // Федеральный закон от 21.07.2005 N 115-ФЗ (ред. от 31.12.2017)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 xml:space="preserve">[Электронный ресурс]. – URL: </w:t>
      </w:r>
      <w:hyperlink r:id="rId10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http://www.consultant.ru/document/cons_doc_LAW_54572/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17.12.2017)</w:t>
      </w:r>
    </w:p>
  </w:footnote>
  <w:footnote w:id="15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pacing w:val="2"/>
          <w:sz w:val="20"/>
          <w:szCs w:val="20"/>
          <w:shd w:val="clear" w:color="auto" w:fill="FFFFFF"/>
        </w:rPr>
        <w:t>Об утверждении Стратегии государственной культурной политики на период до 2030 года // Распоряжение Правительства РФ от 29.02.2016 N 326-р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:</w:t>
      </w:r>
      <w:hyperlink r:id="rId11" w:history="1">
        <w:r w:rsidRPr="00422DBF">
          <w:rPr>
            <w:rStyle w:val="a5"/>
            <w:rFonts w:ascii="Times New Roman" w:hAnsi="Times New Roman"/>
            <w:color w:val="1200D4"/>
            <w:spacing w:val="2"/>
            <w:sz w:val="20"/>
            <w:szCs w:val="20"/>
            <w:u w:val="none"/>
            <w:shd w:val="clear" w:color="auto" w:fill="FFFFFF"/>
          </w:rPr>
          <w:t>http://www.consultant.ru/law/hotdocs/45830.html/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06.02.2018)</w:t>
      </w:r>
    </w:p>
  </w:footnote>
  <w:footnote w:id="16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sz w:val="20"/>
          <w:szCs w:val="20"/>
        </w:rPr>
        <w:t xml:space="preserve"> Гражданский кодекс Российской Федерации. Части первая, вторая. – Москва: Проспект, 2017. – 624 с. </w:t>
      </w:r>
      <w:r w:rsidRPr="00422DBF">
        <w:rPr>
          <w:rFonts w:ascii="Times New Roman" w:eastAsia="Times New Roman" w:hAnsi="Times New Roman"/>
          <w:sz w:val="20"/>
          <w:szCs w:val="20"/>
        </w:rPr>
        <w:t xml:space="preserve">[Электронный ресурс]. – URL: </w:t>
      </w:r>
      <w:hyperlink r:id="rId12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http://base.garant.ru/10164072/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01.02.2018)</w:t>
      </w:r>
    </w:p>
  </w:footnote>
  <w:footnote w:id="17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О создании рабочей группы по развитию государственно-частного партнерства в сфере культуры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:</w:t>
      </w:r>
      <w:hyperlink r:id="rId13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https://www.mkrf.ru/documents/o-sozdanii-rabochey-gruppy-po-razvitiyu-gosudarstvenno-chastnogo-partnerstva-v-sfere-kultury/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20.01.2018)</w:t>
      </w:r>
    </w:p>
  </w:footnote>
  <w:footnote w:id="18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Перечень поручений по итогам совместного заседания Госсовета и Совета по культуре и искусству.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URL:</w:t>
      </w:r>
      <w:hyperlink r:id="rId14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http://www.kremlin.ru/acts/assignments/orders/47511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 14.01.2018)</w:t>
      </w:r>
    </w:p>
  </w:footnote>
  <w:footnote w:id="19">
    <w:p w:rsidR="009D3BC4" w:rsidRPr="00422DBF" w:rsidRDefault="009D3BC4" w:rsidP="008D7855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color w:val="000000" w:themeColor="text1"/>
          <w:sz w:val="20"/>
          <w:szCs w:val="20"/>
        </w:rPr>
        <w:t>[Электронный ресурс]. –</w:t>
      </w:r>
      <w:hyperlink r:id="rId15" w:history="1">
        <w:r w:rsidRPr="00422DBF">
          <w:rPr>
            <w:rStyle w:val="a5"/>
            <w:rFonts w:ascii="Times New Roman" w:eastAsia="Times New Roman" w:hAnsi="Times New Roman"/>
            <w:sz w:val="20"/>
            <w:szCs w:val="20"/>
            <w:u w:val="none"/>
          </w:rPr>
          <w:t>URL:</w:t>
        </w:r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https://www.mkrf.ru/ais-egrkn/</w:t>
        </w:r>
      </w:hyperlink>
      <w:r w:rsidRPr="00422DBF">
        <w:rPr>
          <w:rFonts w:ascii="Times New Roman" w:hAnsi="Times New Roman"/>
          <w:color w:val="000000" w:themeColor="text1"/>
          <w:sz w:val="20"/>
          <w:szCs w:val="20"/>
        </w:rPr>
        <w:t>(дата обращения 12.01.2018)</w:t>
      </w:r>
    </w:p>
  </w:footnote>
  <w:footnote w:id="20">
    <w:p w:rsidR="009D3BC4" w:rsidRPr="00422DBF" w:rsidRDefault="009D3BC4" w:rsidP="00422DBF">
      <w:pPr>
        <w:pStyle w:val="a8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sz w:val="20"/>
          <w:szCs w:val="20"/>
        </w:rPr>
        <w:t xml:space="preserve"> Губернаторская программа «Усадьбы Подмосковья»</w:t>
      </w:r>
      <w:r w:rsidRPr="00422DBF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422DBF">
        <w:rPr>
          <w:rFonts w:ascii="Times New Roman" w:eastAsia="Times New Roman" w:hAnsi="Times New Roman"/>
          <w:sz w:val="20"/>
          <w:szCs w:val="20"/>
        </w:rPr>
        <w:t>[Электронный ресурс]. – URL:</w:t>
      </w:r>
      <w:hyperlink r:id="rId16" w:history="1">
        <w:r w:rsidRPr="00422DBF">
          <w:rPr>
            <w:rStyle w:val="a5"/>
            <w:rFonts w:ascii="Times New Roman" w:hAnsi="Times New Roman"/>
            <w:sz w:val="20"/>
            <w:szCs w:val="20"/>
            <w:u w:val="none"/>
          </w:rPr>
          <w:t>http://mosreg.ru/seychas-v-rabote/gosudarstvennye-programmy/programma-usadby-podmoskovya</w:t>
        </w:r>
      </w:hyperlink>
      <w:r w:rsidRPr="00422DBF">
        <w:rPr>
          <w:rFonts w:ascii="Times New Roman" w:hAnsi="Times New Roman"/>
          <w:sz w:val="20"/>
          <w:szCs w:val="20"/>
        </w:rPr>
        <w:t xml:space="preserve"> (дата обращения13.12.2017)</w:t>
      </w:r>
    </w:p>
  </w:footnote>
  <w:footnote w:id="21">
    <w:p w:rsidR="009D3BC4" w:rsidRPr="00422DBF" w:rsidRDefault="009D3BC4" w:rsidP="00422DBF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b/>
          <w:color w:val="000000" w:themeColor="text1"/>
          <w:sz w:val="20"/>
          <w:szCs w:val="20"/>
        </w:rPr>
        <w:footnoteRef/>
      </w:r>
      <w:r w:rsidRPr="00422DB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Материалы парламентских слушаний. Парламентский час от 25.06.2017. </w:t>
      </w:r>
      <w:r w:rsidRPr="00422DB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[Электронный ресурс]. – URL: </w:t>
      </w:r>
      <w:hyperlink r:id="rId17" w:history="1">
        <w:r w:rsidRPr="00422DBF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https://www.youtube.com/watch?v=2-_4rnXLlrM</w:t>
        </w:r>
      </w:hyperlink>
      <w:r w:rsidRPr="00422DB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(дата обращения 27.12.2017)</w:t>
      </w:r>
    </w:p>
  </w:footnote>
  <w:footnote w:id="22">
    <w:p w:rsidR="009D3BC4" w:rsidRPr="006C5CC0" w:rsidRDefault="009D3BC4" w:rsidP="006C5CC0">
      <w:pPr>
        <w:pStyle w:val="a8"/>
        <w:ind w:right="0"/>
        <w:rPr>
          <w:rFonts w:ascii="Times New Roman" w:hAnsi="Times New Roman"/>
          <w:color w:val="000000" w:themeColor="text1"/>
          <w:sz w:val="20"/>
          <w:szCs w:val="20"/>
        </w:rPr>
      </w:pPr>
      <w:r w:rsidRPr="006C5CC0">
        <w:rPr>
          <w:rStyle w:val="a7"/>
          <w:rFonts w:ascii="Times New Roman" w:hAnsi="Times New Roman"/>
          <w:color w:val="000000" w:themeColor="text1"/>
          <w:sz w:val="20"/>
          <w:szCs w:val="20"/>
        </w:rPr>
        <w:footnoteRef/>
      </w:r>
      <w:r w:rsidR="006C5CC0" w:rsidRPr="006C5CC0">
        <w:rPr>
          <w:rFonts w:ascii="Times New Roman" w:hAnsi="Times New Roman"/>
          <w:bCs/>
          <w:color w:val="000000" w:themeColor="text1"/>
          <w:kern w:val="36"/>
          <w:sz w:val="20"/>
          <w:szCs w:val="20"/>
        </w:rPr>
        <w:t xml:space="preserve"> О Концепции долгосрочного социально-экономического развития Российской Федерации на период до 2020 года (вместе с "Концепцией долгосрочного социально-экономического развития Российской Федерации на период до 2020 года") // </w:t>
      </w:r>
      <w:r w:rsidRPr="006C5CC0">
        <w:rPr>
          <w:rFonts w:ascii="Times New Roman" w:hAnsi="Times New Roman"/>
          <w:bCs/>
          <w:color w:val="000000" w:themeColor="text1"/>
          <w:kern w:val="36"/>
          <w:sz w:val="20"/>
          <w:szCs w:val="20"/>
        </w:rPr>
        <w:t xml:space="preserve">Распоряжение Правительства РФ от 17.11.2008 N 1662-р (ред. от 10.02.2017) </w:t>
      </w:r>
      <w:r w:rsidR="006C5CC0" w:rsidRPr="006C5CC0">
        <w:rPr>
          <w:rFonts w:ascii="Times New Roman" w:hAnsi="Times New Roman"/>
          <w:color w:val="000000" w:themeColor="text1"/>
          <w:sz w:val="20"/>
          <w:szCs w:val="20"/>
        </w:rPr>
        <w:t>[Электронный ресурс].</w:t>
      </w:r>
      <w:r w:rsidR="006C5CC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hyperlink r:id="rId18" w:history="1">
        <w:r w:rsidR="006C5CC0" w:rsidRPr="006C5CC0">
          <w:rPr>
            <w:rStyle w:val="a5"/>
            <w:rFonts w:ascii="Times New Roman" w:hAnsi="Times New Roman"/>
            <w:color w:val="000000" w:themeColor="text1"/>
            <w:sz w:val="20"/>
            <w:szCs w:val="20"/>
          </w:rPr>
          <w:t>URL:</w:t>
        </w:r>
        <w:r w:rsidR="006C5CC0" w:rsidRPr="006C5CC0">
          <w:rPr>
            <w:rStyle w:val="a5"/>
            <w:rFonts w:ascii="Times New Roman" w:hAnsi="Times New Roman"/>
            <w:bCs/>
            <w:color w:val="000000" w:themeColor="text1"/>
            <w:kern w:val="36"/>
            <w:sz w:val="20"/>
            <w:szCs w:val="20"/>
          </w:rPr>
          <w:t>http://www.consultant.ru/document/cons_doc_LAW_82134/</w:t>
        </w:r>
      </w:hyperlink>
      <w:r w:rsidR="006C5CC0" w:rsidRPr="006C5CC0">
        <w:rPr>
          <w:rFonts w:ascii="Times New Roman" w:hAnsi="Times New Roman"/>
          <w:bCs/>
          <w:color w:val="000000" w:themeColor="text1"/>
          <w:kern w:val="36"/>
          <w:sz w:val="20"/>
          <w:szCs w:val="20"/>
        </w:rPr>
        <w:t xml:space="preserve"> (дата обращения 01.03.2018)</w:t>
      </w:r>
    </w:p>
  </w:footnote>
  <w:footnote w:id="23">
    <w:p w:rsidR="009D3BC4" w:rsidRPr="00AF5A29" w:rsidRDefault="009D3BC4" w:rsidP="00A6330C">
      <w:pPr>
        <w:pStyle w:val="a8"/>
        <w:rPr>
          <w:rFonts w:ascii="Times New Roman" w:hAnsi="Times New Roman"/>
          <w:sz w:val="20"/>
          <w:szCs w:val="20"/>
        </w:rPr>
      </w:pPr>
      <w:r w:rsidRPr="00AF5A29">
        <w:rPr>
          <w:rStyle w:val="a7"/>
          <w:rFonts w:ascii="Times New Roman" w:hAnsi="Times New Roman"/>
          <w:sz w:val="20"/>
          <w:szCs w:val="20"/>
        </w:rPr>
        <w:footnoteRef/>
      </w:r>
      <w:r w:rsidRPr="00AF5A29">
        <w:rPr>
          <w:rFonts w:ascii="Times New Roman" w:hAnsi="Times New Roman"/>
          <w:sz w:val="20"/>
          <w:szCs w:val="20"/>
        </w:rPr>
        <w:t xml:space="preserve"> Центральный совет Всероссийского общества охраны памятников истории и ку</w:t>
      </w:r>
      <w:r w:rsidR="006C5CC0">
        <w:rPr>
          <w:rFonts w:ascii="Times New Roman" w:hAnsi="Times New Roman"/>
          <w:sz w:val="20"/>
          <w:szCs w:val="20"/>
        </w:rPr>
        <w:t xml:space="preserve">льтуры // [Электронный ресурс]. </w:t>
      </w:r>
      <w:r w:rsidRPr="00AF5A29">
        <w:rPr>
          <w:rFonts w:ascii="Times New Roman" w:hAnsi="Times New Roman"/>
          <w:sz w:val="20"/>
          <w:szCs w:val="20"/>
        </w:rPr>
        <w:t xml:space="preserve"> URL:http://www.voopik.ru/our-herit</w:t>
      </w:r>
      <w:r w:rsidR="006C5CC0">
        <w:rPr>
          <w:rFonts w:ascii="Times New Roman" w:hAnsi="Times New Roman"/>
          <w:sz w:val="20"/>
          <w:szCs w:val="20"/>
        </w:rPr>
        <w:t>age/status-cultural-heritage/. (д</w:t>
      </w:r>
      <w:r w:rsidRPr="00AF5A29">
        <w:rPr>
          <w:rFonts w:ascii="Times New Roman" w:hAnsi="Times New Roman"/>
          <w:sz w:val="20"/>
          <w:szCs w:val="20"/>
        </w:rPr>
        <w:t>ата обращения 24.11.2017</w:t>
      </w:r>
      <w:r w:rsidR="006C5CC0">
        <w:rPr>
          <w:rFonts w:ascii="Times New Roman" w:hAnsi="Times New Roman"/>
          <w:sz w:val="20"/>
          <w:szCs w:val="20"/>
        </w:rPr>
        <w:t>)</w:t>
      </w:r>
    </w:p>
    <w:p w:rsidR="009D3BC4" w:rsidRDefault="009D3BC4" w:rsidP="00A6330C">
      <w:pPr>
        <w:pStyle w:val="a8"/>
      </w:pPr>
    </w:p>
  </w:footnote>
  <w:footnote w:id="24">
    <w:p w:rsidR="009D3BC4" w:rsidRPr="00422DBF" w:rsidRDefault="009D3BC4" w:rsidP="00687DD0">
      <w:pPr>
        <w:pStyle w:val="a8"/>
        <w:ind w:right="-1"/>
        <w:rPr>
          <w:rFonts w:ascii="Times New Roman" w:hAnsi="Times New Roman"/>
          <w:sz w:val="20"/>
          <w:szCs w:val="20"/>
        </w:rPr>
      </w:pPr>
      <w:r w:rsidRPr="00422DBF">
        <w:rPr>
          <w:rStyle w:val="a7"/>
          <w:rFonts w:ascii="Times New Roman" w:hAnsi="Times New Roman"/>
          <w:sz w:val="20"/>
          <w:szCs w:val="20"/>
        </w:rPr>
        <w:footnoteRef/>
      </w:r>
      <w:r w:rsidRPr="00422DBF">
        <w:rPr>
          <w:rFonts w:ascii="Times New Roman" w:hAnsi="Times New Roman"/>
          <w:sz w:val="20"/>
          <w:szCs w:val="20"/>
        </w:rPr>
        <w:t xml:space="preserve"> Об определении случаев заключения контракта жизненного цикла // Постановлении Правительства РФ</w:t>
      </w:r>
      <w:r w:rsidR="00700938">
        <w:rPr>
          <w:rFonts w:ascii="Times New Roman" w:hAnsi="Times New Roman"/>
          <w:sz w:val="20"/>
          <w:szCs w:val="20"/>
        </w:rPr>
        <w:t xml:space="preserve"> </w:t>
      </w:r>
      <w:r w:rsidRPr="00422DBF">
        <w:rPr>
          <w:rFonts w:ascii="Times New Roman" w:hAnsi="Times New Roman"/>
          <w:sz w:val="20"/>
          <w:szCs w:val="20"/>
        </w:rPr>
        <w:t xml:space="preserve">от 28.11.2013 N </w:t>
      </w:r>
      <w:r w:rsidRPr="00422DBF">
        <w:rPr>
          <w:rFonts w:ascii="Times New Roman" w:hAnsi="Times New Roman"/>
          <w:color w:val="000000" w:themeColor="text1"/>
          <w:sz w:val="20"/>
          <w:szCs w:val="20"/>
        </w:rPr>
        <w:t xml:space="preserve">1087 (ред. от 29.12.2015 № 1480). </w:t>
      </w:r>
      <w:r w:rsidRPr="00422DBF">
        <w:rPr>
          <w:rFonts w:ascii="Times New Roman" w:eastAsia="Times New Roman" w:hAnsi="Times New Roman"/>
          <w:color w:val="000000" w:themeColor="text1"/>
          <w:sz w:val="20"/>
          <w:szCs w:val="20"/>
        </w:rPr>
        <w:t>[Электронный ресурс]. – URL:</w:t>
      </w:r>
      <w:hyperlink r:id="rId19" w:history="1">
        <w:r w:rsidRPr="00422DBF">
          <w:rPr>
            <w:rStyle w:val="a5"/>
            <w:rFonts w:ascii="Times New Roman" w:eastAsia="Times New Roman" w:hAnsi="Times New Roman"/>
            <w:sz w:val="20"/>
            <w:szCs w:val="20"/>
            <w:u w:val="none"/>
          </w:rPr>
          <w:t>http://www.consultant.ru/document/cons_doc_LAW_155054/</w:t>
        </w:r>
      </w:hyperlink>
      <w:r w:rsidRPr="00422DBF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(дата обращения 11.01.2018)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764E"/>
    <w:multiLevelType w:val="hybridMultilevel"/>
    <w:tmpl w:val="C48E280E"/>
    <w:lvl w:ilvl="0" w:tplc="1D443B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A2755"/>
    <w:multiLevelType w:val="hybridMultilevel"/>
    <w:tmpl w:val="4D96C43A"/>
    <w:lvl w:ilvl="0" w:tplc="33F0C5A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5B84F45"/>
    <w:multiLevelType w:val="hybridMultilevel"/>
    <w:tmpl w:val="C2304FE2"/>
    <w:lvl w:ilvl="0" w:tplc="33F0C5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31A4E"/>
    <w:multiLevelType w:val="hybridMultilevel"/>
    <w:tmpl w:val="4ED80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D5B56"/>
    <w:multiLevelType w:val="hybridMultilevel"/>
    <w:tmpl w:val="A962A8A2"/>
    <w:lvl w:ilvl="0" w:tplc="A8FA1C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900CA4"/>
    <w:multiLevelType w:val="hybridMultilevel"/>
    <w:tmpl w:val="24E6EF06"/>
    <w:lvl w:ilvl="0" w:tplc="890C096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>
    <w:useFELayout/>
  </w:compat>
  <w:rsids>
    <w:rsidRoot w:val="00161FD5"/>
    <w:rsid w:val="00003164"/>
    <w:rsid w:val="000102AB"/>
    <w:rsid w:val="00025376"/>
    <w:rsid w:val="00031B00"/>
    <w:rsid w:val="00062DD6"/>
    <w:rsid w:val="00097883"/>
    <w:rsid w:val="000E1E26"/>
    <w:rsid w:val="000E6674"/>
    <w:rsid w:val="001435E2"/>
    <w:rsid w:val="001546AA"/>
    <w:rsid w:val="00161FD5"/>
    <w:rsid w:val="00166817"/>
    <w:rsid w:val="00176E91"/>
    <w:rsid w:val="001912E1"/>
    <w:rsid w:val="001B7FF0"/>
    <w:rsid w:val="001D472D"/>
    <w:rsid w:val="001E30C7"/>
    <w:rsid w:val="00207E85"/>
    <w:rsid w:val="00227124"/>
    <w:rsid w:val="002A10EB"/>
    <w:rsid w:val="002C41BF"/>
    <w:rsid w:val="002C5347"/>
    <w:rsid w:val="003034B0"/>
    <w:rsid w:val="00336B7F"/>
    <w:rsid w:val="003A60AA"/>
    <w:rsid w:val="00422DBF"/>
    <w:rsid w:val="00422E70"/>
    <w:rsid w:val="004806C1"/>
    <w:rsid w:val="004B5DA9"/>
    <w:rsid w:val="004C1BB5"/>
    <w:rsid w:val="004E3620"/>
    <w:rsid w:val="004E4726"/>
    <w:rsid w:val="005530AA"/>
    <w:rsid w:val="00590BBE"/>
    <w:rsid w:val="005B5158"/>
    <w:rsid w:val="005D58A7"/>
    <w:rsid w:val="005E0AF2"/>
    <w:rsid w:val="00601B05"/>
    <w:rsid w:val="0061556E"/>
    <w:rsid w:val="00660FC5"/>
    <w:rsid w:val="00687DD0"/>
    <w:rsid w:val="006A3F33"/>
    <w:rsid w:val="006C45FB"/>
    <w:rsid w:val="006C5CC0"/>
    <w:rsid w:val="006D3CE1"/>
    <w:rsid w:val="00700938"/>
    <w:rsid w:val="00700D5D"/>
    <w:rsid w:val="00797C23"/>
    <w:rsid w:val="007D459E"/>
    <w:rsid w:val="008100AB"/>
    <w:rsid w:val="00816926"/>
    <w:rsid w:val="0082229D"/>
    <w:rsid w:val="0083212B"/>
    <w:rsid w:val="008351B7"/>
    <w:rsid w:val="00873AB6"/>
    <w:rsid w:val="008D7855"/>
    <w:rsid w:val="00924D27"/>
    <w:rsid w:val="009C6F28"/>
    <w:rsid w:val="009C718C"/>
    <w:rsid w:val="009D3BC4"/>
    <w:rsid w:val="009E2857"/>
    <w:rsid w:val="009E6980"/>
    <w:rsid w:val="009F1F2A"/>
    <w:rsid w:val="00A206C0"/>
    <w:rsid w:val="00A504E0"/>
    <w:rsid w:val="00A6330C"/>
    <w:rsid w:val="00AD465B"/>
    <w:rsid w:val="00AD6533"/>
    <w:rsid w:val="00B17022"/>
    <w:rsid w:val="00B30F0D"/>
    <w:rsid w:val="00B55DD2"/>
    <w:rsid w:val="00B61DCC"/>
    <w:rsid w:val="00B714DB"/>
    <w:rsid w:val="00BA4DE5"/>
    <w:rsid w:val="00BD43AD"/>
    <w:rsid w:val="00BE2348"/>
    <w:rsid w:val="00C00EA0"/>
    <w:rsid w:val="00C4448F"/>
    <w:rsid w:val="00CA5365"/>
    <w:rsid w:val="00CE31F3"/>
    <w:rsid w:val="00DF5B2B"/>
    <w:rsid w:val="00E376E4"/>
    <w:rsid w:val="00E613A4"/>
    <w:rsid w:val="00E70B1D"/>
    <w:rsid w:val="00E74745"/>
    <w:rsid w:val="00E9658E"/>
    <w:rsid w:val="00EB5293"/>
    <w:rsid w:val="00EF6883"/>
    <w:rsid w:val="00F372F3"/>
    <w:rsid w:val="00F76835"/>
    <w:rsid w:val="00F81164"/>
    <w:rsid w:val="00F97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0EB"/>
  </w:style>
  <w:style w:type="paragraph" w:styleId="1">
    <w:name w:val="heading 1"/>
    <w:basedOn w:val="a"/>
    <w:next w:val="a"/>
    <w:link w:val="10"/>
    <w:uiPriority w:val="9"/>
    <w:qFormat/>
    <w:rsid w:val="00336B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ord">
    <w:name w:val="word"/>
    <w:basedOn w:val="a0"/>
    <w:rsid w:val="00E74745"/>
  </w:style>
  <w:style w:type="character" w:customStyle="1" w:styleId="apple-converted-space">
    <w:name w:val="apple-converted-space"/>
    <w:basedOn w:val="a0"/>
    <w:rsid w:val="00E74745"/>
  </w:style>
  <w:style w:type="paragraph" w:styleId="a3">
    <w:name w:val="List Paragraph"/>
    <w:basedOn w:val="a"/>
    <w:uiPriority w:val="34"/>
    <w:qFormat/>
    <w:rsid w:val="003034B0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Strong"/>
    <w:basedOn w:val="a0"/>
    <w:uiPriority w:val="22"/>
    <w:qFormat/>
    <w:rsid w:val="003034B0"/>
    <w:rPr>
      <w:b/>
      <w:bCs/>
    </w:rPr>
  </w:style>
  <w:style w:type="character" w:styleId="a5">
    <w:name w:val="Hyperlink"/>
    <w:basedOn w:val="a0"/>
    <w:uiPriority w:val="99"/>
    <w:unhideWhenUsed/>
    <w:rsid w:val="00336B7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36B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336B7F"/>
    <w:pPr>
      <w:spacing w:before="480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36B7F"/>
    <w:pPr>
      <w:spacing w:after="100"/>
    </w:pPr>
    <w:rPr>
      <w:rFonts w:eastAsiaTheme="minorHAnsi"/>
      <w:lang w:eastAsia="en-US"/>
    </w:rPr>
  </w:style>
  <w:style w:type="character" w:styleId="a7">
    <w:name w:val="footnote reference"/>
    <w:semiHidden/>
    <w:rsid w:val="00336B7F"/>
    <w:rPr>
      <w:rFonts w:cs="Times New Roman"/>
      <w:vertAlign w:val="superscript"/>
    </w:rPr>
  </w:style>
  <w:style w:type="paragraph" w:styleId="a8">
    <w:name w:val="footnote text"/>
    <w:basedOn w:val="a"/>
    <w:link w:val="a9"/>
    <w:rsid w:val="00336B7F"/>
    <w:pPr>
      <w:spacing w:after="0" w:line="240" w:lineRule="auto"/>
      <w:ind w:right="425"/>
      <w:jc w:val="both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9">
    <w:name w:val="Текст сноски Знак"/>
    <w:basedOn w:val="a0"/>
    <w:link w:val="a8"/>
    <w:rsid w:val="00336B7F"/>
    <w:rPr>
      <w:rFonts w:ascii="Calibri" w:eastAsia="Calibri" w:hAnsi="Calibri" w:cs="Times New Roman"/>
      <w:sz w:val="24"/>
      <w:szCs w:val="24"/>
      <w:lang w:eastAsia="en-US"/>
    </w:rPr>
  </w:style>
  <w:style w:type="paragraph" w:customStyle="1" w:styleId="Default">
    <w:name w:val="Default"/>
    <w:rsid w:val="00336B7F"/>
    <w:pPr>
      <w:autoSpaceDE w:val="0"/>
      <w:autoSpaceDN w:val="0"/>
      <w:adjustRightInd w:val="0"/>
      <w:spacing w:after="0" w:line="240" w:lineRule="auto"/>
      <w:ind w:right="425"/>
      <w:jc w:val="both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Normal (Web)"/>
    <w:basedOn w:val="a"/>
    <w:uiPriority w:val="99"/>
    <w:unhideWhenUsed/>
    <w:rsid w:val="00336B7F"/>
    <w:pPr>
      <w:spacing w:before="100" w:beforeAutospacing="1" w:after="100" w:afterAutospacing="1" w:line="240" w:lineRule="auto"/>
      <w:ind w:right="42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36B7F"/>
    <w:pPr>
      <w:spacing w:after="0" w:line="240" w:lineRule="auto"/>
      <w:ind w:right="425"/>
      <w:jc w:val="both"/>
    </w:pPr>
  </w:style>
  <w:style w:type="paragraph" w:customStyle="1" w:styleId="ac">
    <w:name w:val="Название проекта"/>
    <w:basedOn w:val="a"/>
    <w:link w:val="ad"/>
    <w:qFormat/>
    <w:rsid w:val="00924D27"/>
    <w:pPr>
      <w:spacing w:after="0" w:line="240" w:lineRule="auto"/>
    </w:pPr>
    <w:rPr>
      <w:rFonts w:ascii="Times New Roman" w:eastAsia="Calibri" w:hAnsi="Times New Roman" w:cs="Times New Roman"/>
      <w:b/>
      <w:sz w:val="24"/>
      <w:lang w:eastAsia="en-US" w:bidi="ru-RU"/>
    </w:rPr>
  </w:style>
  <w:style w:type="character" w:customStyle="1" w:styleId="ad">
    <w:name w:val="Название проекта Знак"/>
    <w:basedOn w:val="a0"/>
    <w:link w:val="ac"/>
    <w:rsid w:val="00924D27"/>
    <w:rPr>
      <w:rFonts w:ascii="Times New Roman" w:eastAsia="Calibri" w:hAnsi="Times New Roman" w:cs="Times New Roman"/>
      <w:b/>
      <w:sz w:val="24"/>
      <w:lang w:eastAsia="en-US" w:bidi="ru-RU"/>
    </w:rPr>
  </w:style>
  <w:style w:type="paragraph" w:styleId="ae">
    <w:name w:val="endnote text"/>
    <w:basedOn w:val="a"/>
    <w:link w:val="af"/>
    <w:uiPriority w:val="99"/>
    <w:semiHidden/>
    <w:unhideWhenUsed/>
    <w:rsid w:val="00924D2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924D2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924D27"/>
    <w:rPr>
      <w:vertAlign w:val="superscript"/>
    </w:rPr>
  </w:style>
  <w:style w:type="character" w:customStyle="1" w:styleId="citation">
    <w:name w:val="citation"/>
    <w:basedOn w:val="a0"/>
    <w:rsid w:val="009D3BC4"/>
  </w:style>
  <w:style w:type="paragraph" w:styleId="af1">
    <w:name w:val="Balloon Text"/>
    <w:basedOn w:val="a"/>
    <w:link w:val="af2"/>
    <w:uiPriority w:val="99"/>
    <w:semiHidden/>
    <w:unhideWhenUsed/>
    <w:rsid w:val="00B5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55DD2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semiHidden/>
    <w:unhideWhenUsed/>
    <w:rsid w:val="00E3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E376E4"/>
  </w:style>
  <w:style w:type="paragraph" w:styleId="af5">
    <w:name w:val="footer"/>
    <w:basedOn w:val="a"/>
    <w:link w:val="af6"/>
    <w:uiPriority w:val="99"/>
    <w:unhideWhenUsed/>
    <w:rsid w:val="00E3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376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9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taly4.me/lazio/roma/colloseo.html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hyperlink" Target="http://base.garant.ru/10164072/" TargetMode="External"/><Relationship Id="rId63" Type="http://schemas.openxmlformats.org/officeDocument/2006/relationships/hyperlink" Target="http://www.consultant.ru/document/cons_doc_LAW_141585/" TargetMode="External"/><Relationship Id="rId68" Type="http://schemas.openxmlformats.org/officeDocument/2006/relationships/hyperlink" Target="URL:https://www.vegaslex.ru/analytics/publications/58927/%20(&#1076;&#1072;&#1090;&#1072;%20&#1086;&#1073;&#1088;&#1072;&#1097;&#1077;&#1085;&#1080;&#1103;%2021.11.2017" TargetMode="External"/><Relationship Id="rId7" Type="http://schemas.openxmlformats.org/officeDocument/2006/relationships/endnotes" Target="endnotes.xml"/><Relationship Id="rId71" Type="http://schemas.openxmlformats.org/officeDocument/2006/relationships/hyperlink" Target="URL:http://ru-lt-pl.minfin39.ru/wp-content/uploads/2015/06/10.1.-analiz-i-izuchenie-opyta-gchp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taly4.me/novosti/politika/italiya-smenila-premer-ministra.html" TargetMode="External"/><Relationship Id="rId29" Type="http://schemas.openxmlformats.org/officeDocument/2006/relationships/image" Target="media/image13.jpeg"/><Relationship Id="rId11" Type="http://schemas.openxmlformats.org/officeDocument/2006/relationships/diagramColors" Target="diagrams/colors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fotki.yandex.ru/users/nataly-pamsik-travel/view/475527/" TargetMode="External"/><Relationship Id="rId53" Type="http://schemas.openxmlformats.org/officeDocument/2006/relationships/image" Target="media/image35.jpeg"/><Relationship Id="rId58" Type="http://schemas.openxmlformats.org/officeDocument/2006/relationships/hyperlink" Target="http://www.consultant.ru/document/cons_doc_LAW_54572/" TargetMode="External"/><Relationship Id="rId66" Type="http://schemas.openxmlformats.org/officeDocument/2006/relationships/hyperlink" Target="https://www.mkrf.ru/ais-egrkn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taly4.me/shopping/brendy/fendi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hyperlink" Target="http://www.consultant.ru/document/cons_doc_LAW_170477/" TargetMode="External"/><Relationship Id="rId61" Type="http://schemas.openxmlformats.org/officeDocument/2006/relationships/hyperlink" Target="http://www.consultant.ru/document/cons_doc_LAW_155054/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hyperlink" Target="URL:http://www.consultant.ru/document/cons_doc_LAW_82134/" TargetMode="External"/><Relationship Id="rId65" Type="http://schemas.openxmlformats.org/officeDocument/2006/relationships/hyperlink" Target="http://www.un.org/ru/documents/decl_conv/declarations/summitdecl.shtml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italy4.me/lazio/roma/fontana-di-trevi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://fotki.yandex.ru/users/nataly-pamsik-travel/view/475536/" TargetMode="External"/><Relationship Id="rId48" Type="http://schemas.openxmlformats.org/officeDocument/2006/relationships/image" Target="media/image30.jpeg"/><Relationship Id="rId56" Type="http://schemas.openxmlformats.org/officeDocument/2006/relationships/hyperlink" Target="http://www.consultant.ru/document/cons_doc_LAW_182660/" TargetMode="External"/><Relationship Id="rId64" Type="http://schemas.openxmlformats.org/officeDocument/2006/relationships/hyperlink" Target="http://mosreg.ru/seychas-v-rabote/gosudarstvennye-programmy/programma-usadby-podmoskovya" TargetMode="External"/><Relationship Id="rId69" Type="http://schemas.openxmlformats.org/officeDocument/2006/relationships/hyperlink" Target="https://www.mkrf.ru/documents/o-sozdanii-rabochey-gruppy-po-razvitiyu-gosudarstvenno-chastnogo-partnerstva-v-sfere-kultury/" TargetMode="External"/><Relationship Id="rId8" Type="http://schemas.openxmlformats.org/officeDocument/2006/relationships/diagramData" Target="diagrams/data1.xml"/><Relationship Id="rId51" Type="http://schemas.openxmlformats.org/officeDocument/2006/relationships/image" Target="media/image33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psihdocs.ru/kanun-velikoj-otechestvennoj-vojni-predistoriya-germaniya-v-re.html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hyperlink" Target="http://www.consultant.ru/document/cons_doc_LAW_37318/" TargetMode="External"/><Relationship Id="rId67" Type="http://schemas.openxmlformats.org/officeDocument/2006/relationships/hyperlink" Target="https://www.youtube.com/watch?v=2-_4rnXLlrM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hyperlink" Target="http://www.consultant.ru/law/hotdocs/45830.html/" TargetMode="External"/><Relationship Id="rId70" Type="http://schemas.openxmlformats.org/officeDocument/2006/relationships/hyperlink" Target="http://www.kremlin.ru/acts/assignments/orders/47511" TargetMode="External"/><Relationship Id="rId75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318/" TargetMode="External"/><Relationship Id="rId13" Type="http://schemas.openxmlformats.org/officeDocument/2006/relationships/hyperlink" Target="https://www.mkrf.ru/documents/o-sozdanii-rabochey-gruppy-po-razvitiyu-gosudarstvenno-chastnogo-partnerstva-v-sfere-kultury/" TargetMode="External"/><Relationship Id="rId18" Type="http://schemas.openxmlformats.org/officeDocument/2006/relationships/hyperlink" Target="URL:http://www.consultant.ru/document/cons_doc_LAW_82134/" TargetMode="External"/><Relationship Id="rId3" Type="http://schemas.openxmlformats.org/officeDocument/2006/relationships/hyperlink" Target="URL:http://ru-lt-pl.minfin39.ru/wp-content/uploads/2015/06/10.1.-analiz-i-izuchenie-opyta-gchp.pdf" TargetMode="External"/><Relationship Id="rId7" Type="http://schemas.openxmlformats.org/officeDocument/2006/relationships/hyperlink" Target="http://www.consultant.ru/document/cons_doc_LAW_182660/" TargetMode="External"/><Relationship Id="rId12" Type="http://schemas.openxmlformats.org/officeDocument/2006/relationships/hyperlink" Target="http://base.garant.ru/10164072/" TargetMode="External"/><Relationship Id="rId17" Type="http://schemas.openxmlformats.org/officeDocument/2006/relationships/hyperlink" Target="https://www.youtube.com/watch?v=2-_4rnXLlrM" TargetMode="External"/><Relationship Id="rId2" Type="http://schemas.openxmlformats.org/officeDocument/2006/relationships/hyperlink" Target="http://www.un.org/ru/documents/decl_conv/declarations/summitdecl.shtml" TargetMode="External"/><Relationship Id="rId16" Type="http://schemas.openxmlformats.org/officeDocument/2006/relationships/hyperlink" Target="http://mosreg.ru/seychas-v-rabote/gosudarstvennye-programmy/programma-usadby-podmoskovya" TargetMode="External"/><Relationship Id="rId1" Type="http://schemas.openxmlformats.org/officeDocument/2006/relationships/hyperlink" Target="https://www.mkrf.ru/ais-egrkn/" TargetMode="External"/><Relationship Id="rId6" Type="http://schemas.openxmlformats.org/officeDocument/2006/relationships/hyperlink" Target="http://www.consultant.ru/document/cons_doc_LAW_141585/" TargetMode="External"/><Relationship Id="rId11" Type="http://schemas.openxmlformats.org/officeDocument/2006/relationships/hyperlink" Target="http://www.consultant.ru/law/hotdocs/45830.html/" TargetMode="External"/><Relationship Id="rId5" Type="http://schemas.openxmlformats.org/officeDocument/2006/relationships/hyperlink" Target="URL:https://www.vegaslex.ru/analytics/publications/58927/%20&#1044;&#1072;&#1090;&#1072;%20&#1086;&#1073;&#1088;&#1072;&#1097;&#1077;&#1085;&#1080;&#1103;%2021.11.2017" TargetMode="External"/><Relationship Id="rId15" Type="http://schemas.openxmlformats.org/officeDocument/2006/relationships/hyperlink" Target="URL:%20https://www.mkrf.ru/ais-egrkn/" TargetMode="External"/><Relationship Id="rId10" Type="http://schemas.openxmlformats.org/officeDocument/2006/relationships/hyperlink" Target="http://www.consultant.ru/document/cons_doc_LAW_54572/" TargetMode="External"/><Relationship Id="rId19" Type="http://schemas.openxmlformats.org/officeDocument/2006/relationships/hyperlink" Target="http://www.consultant.ru/document/cons_doc_LAW_155054/" TargetMode="External"/><Relationship Id="rId4" Type="http://schemas.openxmlformats.org/officeDocument/2006/relationships/hyperlink" Target="URL:http://www.psihdocs.ru/opit-primeneniya-gchp-v-zarubejnih-stranah.html" TargetMode="External"/><Relationship Id="rId9" Type="http://schemas.openxmlformats.org/officeDocument/2006/relationships/hyperlink" Target="http://www.consultant.ru/document/cons_doc_LAW_170477/" TargetMode="External"/><Relationship Id="rId14" Type="http://schemas.openxmlformats.org/officeDocument/2006/relationships/hyperlink" Target="http://www.kremlin.ru/acts/assignments/orders/47511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C1C91C-82C7-434E-BE6D-1F011C6C82E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45E7E3A-EFA5-4A8E-A3AB-97E3CB741EBA}">
      <dgm:prSet phldrT="[Текст]"/>
      <dgm:spPr/>
      <dgm:t>
        <a:bodyPr/>
        <a:lstStyle/>
        <a:p>
          <a:pPr algn="ctr"/>
          <a:r>
            <a:rPr lang="ru-RU"/>
            <a:t>Модели ГЧП</a:t>
          </a:r>
        </a:p>
      </dgm:t>
    </dgm:pt>
    <dgm:pt modelId="{ABCD7B36-86F8-48CD-A0DC-E72CE36556EF}" type="parTrans" cxnId="{C3CD58E9-2BD2-46B1-B3BF-2F4EF1B00704}">
      <dgm:prSet/>
      <dgm:spPr/>
      <dgm:t>
        <a:bodyPr/>
        <a:lstStyle/>
        <a:p>
          <a:pPr algn="ctr"/>
          <a:endParaRPr lang="ru-RU"/>
        </a:p>
      </dgm:t>
    </dgm:pt>
    <dgm:pt modelId="{4E5CF852-D32F-44EB-A295-64C198CD652A}" type="sibTrans" cxnId="{C3CD58E9-2BD2-46B1-B3BF-2F4EF1B00704}">
      <dgm:prSet/>
      <dgm:spPr/>
      <dgm:t>
        <a:bodyPr/>
        <a:lstStyle/>
        <a:p>
          <a:pPr algn="ctr"/>
          <a:endParaRPr lang="ru-RU"/>
        </a:p>
      </dgm:t>
    </dgm:pt>
    <dgm:pt modelId="{1EEB3A59-6469-4EAF-8C57-399804BA8B0F}">
      <dgm:prSet phldrT="[Текст]"/>
      <dgm:spPr/>
      <dgm:t>
        <a:bodyPr/>
        <a:lstStyle/>
        <a:p>
          <a:pPr algn="ctr"/>
          <a:r>
            <a:rPr lang="ru-RU"/>
            <a:t>Контракты на управление и аренду</a:t>
          </a:r>
        </a:p>
      </dgm:t>
    </dgm:pt>
    <dgm:pt modelId="{4A462917-AB66-49AF-B750-9144FC0E97B8}" type="parTrans" cxnId="{43BE78BE-BD0C-4BA0-BAA9-3578A7B81AF9}">
      <dgm:prSet/>
      <dgm:spPr/>
      <dgm:t>
        <a:bodyPr/>
        <a:lstStyle/>
        <a:p>
          <a:pPr algn="ctr"/>
          <a:endParaRPr lang="ru-RU"/>
        </a:p>
      </dgm:t>
    </dgm:pt>
    <dgm:pt modelId="{3E5F58DB-5E27-4DF2-A41C-1C0EAD65C57B}" type="sibTrans" cxnId="{43BE78BE-BD0C-4BA0-BAA9-3578A7B81AF9}">
      <dgm:prSet/>
      <dgm:spPr/>
      <dgm:t>
        <a:bodyPr/>
        <a:lstStyle/>
        <a:p>
          <a:pPr algn="ctr"/>
          <a:endParaRPr lang="ru-RU"/>
        </a:p>
      </dgm:t>
    </dgm:pt>
    <dgm:pt modelId="{75B9E42A-1C38-467D-A977-8E9BC302A87A}">
      <dgm:prSet phldrT="[Текст]"/>
      <dgm:spPr/>
      <dgm:t>
        <a:bodyPr/>
        <a:lstStyle/>
        <a:p>
          <a:pPr algn="ctr"/>
          <a:r>
            <a:rPr lang="ru-RU"/>
            <a:t>Концессии</a:t>
          </a:r>
        </a:p>
      </dgm:t>
    </dgm:pt>
    <dgm:pt modelId="{8D5204FC-2C87-423F-8DE6-4BA7559F09B8}" type="parTrans" cxnId="{46BFB26E-D9A3-4FFA-966E-C0CFB93E4F19}">
      <dgm:prSet/>
      <dgm:spPr/>
      <dgm:t>
        <a:bodyPr/>
        <a:lstStyle/>
        <a:p>
          <a:pPr algn="ctr"/>
          <a:endParaRPr lang="ru-RU"/>
        </a:p>
      </dgm:t>
    </dgm:pt>
    <dgm:pt modelId="{43D04AFF-D1A7-482B-A8FF-D3EF897AC64C}" type="sibTrans" cxnId="{46BFB26E-D9A3-4FFA-966E-C0CFB93E4F19}">
      <dgm:prSet/>
      <dgm:spPr/>
      <dgm:t>
        <a:bodyPr/>
        <a:lstStyle/>
        <a:p>
          <a:pPr algn="ctr"/>
          <a:endParaRPr lang="ru-RU"/>
        </a:p>
      </dgm:t>
    </dgm:pt>
    <dgm:pt modelId="{F481AC6E-B6F5-4C3E-9245-4E6EB1CB4C44}">
      <dgm:prSet phldrT="[Текст]"/>
      <dgm:spPr/>
      <dgm:t>
        <a:bodyPr/>
        <a:lstStyle/>
        <a:p>
          <a:pPr algn="ctr"/>
          <a:r>
            <a:rPr lang="ru-RU"/>
            <a:t>Передача активов</a:t>
          </a:r>
        </a:p>
      </dgm:t>
    </dgm:pt>
    <dgm:pt modelId="{35A203AD-344B-4AC3-B7D8-A916BF21B7B2}" type="parTrans" cxnId="{0F4705FF-6BC2-425C-97BB-9ED289A42B29}">
      <dgm:prSet/>
      <dgm:spPr/>
      <dgm:t>
        <a:bodyPr/>
        <a:lstStyle/>
        <a:p>
          <a:pPr algn="ctr"/>
          <a:endParaRPr lang="ru-RU"/>
        </a:p>
      </dgm:t>
    </dgm:pt>
    <dgm:pt modelId="{5C990C1A-43FD-4209-9B57-59384DFDFF1F}" type="sibTrans" cxnId="{0F4705FF-6BC2-425C-97BB-9ED289A42B29}">
      <dgm:prSet/>
      <dgm:spPr/>
      <dgm:t>
        <a:bodyPr/>
        <a:lstStyle/>
        <a:p>
          <a:pPr algn="ctr"/>
          <a:endParaRPr lang="ru-RU"/>
        </a:p>
      </dgm:t>
    </dgm:pt>
    <dgm:pt modelId="{38DE186B-3963-42CA-A2A7-DC2D0FCF1866}">
      <dgm:prSet/>
      <dgm:spPr/>
      <dgm:t>
        <a:bodyPr/>
        <a:lstStyle/>
        <a:p>
          <a:pPr algn="ctr"/>
          <a:r>
            <a:rPr lang="ru-RU"/>
            <a:t>Проекты с чистого листа</a:t>
          </a:r>
        </a:p>
      </dgm:t>
    </dgm:pt>
    <dgm:pt modelId="{E1F97CB4-53E5-449F-B243-E3E30387B1D5}" type="parTrans" cxnId="{3F4A42DC-1468-4DF0-8AFF-529BE52641D5}">
      <dgm:prSet/>
      <dgm:spPr/>
      <dgm:t>
        <a:bodyPr/>
        <a:lstStyle/>
        <a:p>
          <a:pPr algn="ctr"/>
          <a:endParaRPr lang="ru-RU"/>
        </a:p>
      </dgm:t>
    </dgm:pt>
    <dgm:pt modelId="{5A9D2442-82B0-4CCE-A5DF-2BB299E68980}" type="sibTrans" cxnId="{3F4A42DC-1468-4DF0-8AFF-529BE52641D5}">
      <dgm:prSet/>
      <dgm:spPr/>
      <dgm:t>
        <a:bodyPr/>
        <a:lstStyle/>
        <a:p>
          <a:pPr algn="ctr"/>
          <a:endParaRPr lang="ru-RU"/>
        </a:p>
      </dgm:t>
    </dgm:pt>
    <dgm:pt modelId="{B027DB08-8DEE-43F9-B5D9-890793C07813}">
      <dgm:prSet/>
      <dgm:spPr/>
      <dgm:t>
        <a:bodyPr/>
        <a:lstStyle/>
        <a:p>
          <a:pPr algn="ctr"/>
          <a:r>
            <a:rPr lang="ru-RU"/>
            <a:t>Контракты на управление </a:t>
          </a:r>
        </a:p>
      </dgm:t>
    </dgm:pt>
    <dgm:pt modelId="{9F870D89-4FCF-4094-BFA0-89AFD46238C5}" type="parTrans" cxnId="{AD937E0D-4361-4402-B551-867F795EDA12}">
      <dgm:prSet/>
      <dgm:spPr/>
      <dgm:t>
        <a:bodyPr/>
        <a:lstStyle/>
        <a:p>
          <a:pPr algn="ctr"/>
          <a:endParaRPr lang="ru-RU"/>
        </a:p>
      </dgm:t>
    </dgm:pt>
    <dgm:pt modelId="{F4A4D50A-6CE8-41E1-8986-E655F3171F22}" type="sibTrans" cxnId="{AD937E0D-4361-4402-B551-867F795EDA12}">
      <dgm:prSet/>
      <dgm:spPr/>
      <dgm:t>
        <a:bodyPr/>
        <a:lstStyle/>
        <a:p>
          <a:pPr algn="ctr"/>
          <a:endParaRPr lang="ru-RU"/>
        </a:p>
      </dgm:t>
    </dgm:pt>
    <dgm:pt modelId="{8D5BF43D-CFEE-46A4-8B77-4B3496D9850E}">
      <dgm:prSet/>
      <dgm:spPr/>
      <dgm:t>
        <a:bodyPr/>
        <a:lstStyle/>
        <a:p>
          <a:pPr algn="ctr"/>
          <a:r>
            <a:rPr lang="ru-RU"/>
            <a:t>Реконструкция - эксплуатация - передача </a:t>
          </a:r>
        </a:p>
      </dgm:t>
    </dgm:pt>
    <dgm:pt modelId="{3EF723F9-C2E9-414E-B3F4-5BC6C0ABB151}" type="parTrans" cxnId="{7C6DC80E-676A-4AEC-A0A2-6AE0B2513806}">
      <dgm:prSet/>
      <dgm:spPr/>
      <dgm:t>
        <a:bodyPr/>
        <a:lstStyle/>
        <a:p>
          <a:pPr algn="ctr"/>
          <a:endParaRPr lang="ru-RU"/>
        </a:p>
      </dgm:t>
    </dgm:pt>
    <dgm:pt modelId="{7DD61267-8E17-4543-BE10-634C112B616D}" type="sibTrans" cxnId="{7C6DC80E-676A-4AEC-A0A2-6AE0B2513806}">
      <dgm:prSet/>
      <dgm:spPr/>
      <dgm:t>
        <a:bodyPr/>
        <a:lstStyle/>
        <a:p>
          <a:pPr algn="ctr"/>
          <a:endParaRPr lang="ru-RU"/>
        </a:p>
      </dgm:t>
    </dgm:pt>
    <dgm:pt modelId="{B413ABE3-BECF-4527-ACEE-445E6BEB6314}">
      <dgm:prSet/>
      <dgm:spPr/>
      <dgm:t>
        <a:bodyPr/>
        <a:lstStyle/>
        <a:p>
          <a:pPr algn="ctr"/>
          <a:r>
            <a:rPr lang="ru-RU"/>
            <a:t>Реконструкция - аренда - передача </a:t>
          </a:r>
        </a:p>
      </dgm:t>
    </dgm:pt>
    <dgm:pt modelId="{E0C54D8C-8173-46D6-ACB2-D5970C1C584C}" type="parTrans" cxnId="{99122F60-C508-4FC6-A999-265C5346ADAC}">
      <dgm:prSet/>
      <dgm:spPr/>
      <dgm:t>
        <a:bodyPr/>
        <a:lstStyle/>
        <a:p>
          <a:pPr algn="ctr"/>
          <a:endParaRPr lang="ru-RU"/>
        </a:p>
      </dgm:t>
    </dgm:pt>
    <dgm:pt modelId="{559D5261-BC4E-4A74-951E-4E7B0458D63B}" type="sibTrans" cxnId="{99122F60-C508-4FC6-A999-265C5346ADAC}">
      <dgm:prSet/>
      <dgm:spPr/>
      <dgm:t>
        <a:bodyPr/>
        <a:lstStyle/>
        <a:p>
          <a:pPr algn="ctr"/>
          <a:endParaRPr lang="ru-RU"/>
        </a:p>
      </dgm:t>
    </dgm:pt>
    <dgm:pt modelId="{F7210F55-C118-41A6-97DA-922986A87B49}">
      <dgm:prSet/>
      <dgm:spPr/>
      <dgm:t>
        <a:bodyPr/>
        <a:lstStyle/>
        <a:p>
          <a:pPr algn="ctr"/>
          <a:r>
            <a:rPr lang="ru-RU"/>
            <a:t>Строительство - аренда - передача </a:t>
          </a:r>
        </a:p>
      </dgm:t>
    </dgm:pt>
    <dgm:pt modelId="{73B5DACF-40AB-4639-B8F7-6B7EBABB503B}" type="parTrans" cxnId="{92ABBA5F-6CA2-4BBF-BBB9-B14EE9E2D487}">
      <dgm:prSet/>
      <dgm:spPr/>
      <dgm:t>
        <a:bodyPr/>
        <a:lstStyle/>
        <a:p>
          <a:pPr algn="ctr"/>
          <a:endParaRPr lang="ru-RU"/>
        </a:p>
      </dgm:t>
    </dgm:pt>
    <dgm:pt modelId="{C4F3BB3A-4412-47B1-AA8C-A085C4577E79}" type="sibTrans" cxnId="{92ABBA5F-6CA2-4BBF-BBB9-B14EE9E2D487}">
      <dgm:prSet/>
      <dgm:spPr/>
      <dgm:t>
        <a:bodyPr/>
        <a:lstStyle/>
        <a:p>
          <a:pPr algn="ctr"/>
          <a:endParaRPr lang="ru-RU"/>
        </a:p>
      </dgm:t>
    </dgm:pt>
    <dgm:pt modelId="{5E76A88F-E3DF-4AB3-93E1-5EF3AD815294}">
      <dgm:prSet/>
      <dgm:spPr/>
      <dgm:t>
        <a:bodyPr/>
        <a:lstStyle/>
        <a:p>
          <a:pPr algn="ctr"/>
          <a:r>
            <a:rPr lang="ru-RU"/>
            <a:t>Полная</a:t>
          </a:r>
        </a:p>
      </dgm:t>
    </dgm:pt>
    <dgm:pt modelId="{5AB3AFF0-6E79-4983-B7A3-C4CD06E81FF5}" type="parTrans" cxnId="{BE0B2451-A71A-4366-B267-64E5DF731131}">
      <dgm:prSet/>
      <dgm:spPr/>
      <dgm:t>
        <a:bodyPr/>
        <a:lstStyle/>
        <a:p>
          <a:pPr algn="ctr"/>
          <a:endParaRPr lang="ru-RU"/>
        </a:p>
      </dgm:t>
    </dgm:pt>
    <dgm:pt modelId="{E236C806-673F-46EC-982F-CCF2C924A461}" type="sibTrans" cxnId="{BE0B2451-A71A-4366-B267-64E5DF731131}">
      <dgm:prSet/>
      <dgm:spPr/>
      <dgm:t>
        <a:bodyPr/>
        <a:lstStyle/>
        <a:p>
          <a:pPr algn="ctr"/>
          <a:endParaRPr lang="ru-RU"/>
        </a:p>
      </dgm:t>
    </dgm:pt>
    <dgm:pt modelId="{AF4ACA02-2DAF-4425-837A-B9AB7035787D}">
      <dgm:prSet/>
      <dgm:spPr/>
      <dgm:t>
        <a:bodyPr/>
        <a:lstStyle/>
        <a:p>
          <a:pPr algn="ctr"/>
          <a:r>
            <a:rPr lang="ru-RU"/>
            <a:t>Частичная</a:t>
          </a:r>
        </a:p>
      </dgm:t>
    </dgm:pt>
    <dgm:pt modelId="{A8E3A6D1-95F4-4051-A149-4D88604BBE04}" type="parTrans" cxnId="{36A383AE-F94D-4429-91F1-A7BDFEB690CC}">
      <dgm:prSet/>
      <dgm:spPr/>
      <dgm:t>
        <a:bodyPr/>
        <a:lstStyle/>
        <a:p>
          <a:pPr algn="ctr"/>
          <a:endParaRPr lang="ru-RU"/>
        </a:p>
      </dgm:t>
    </dgm:pt>
    <dgm:pt modelId="{94929256-53D9-4F58-95C2-DEDD434FB34A}" type="sibTrans" cxnId="{36A383AE-F94D-4429-91F1-A7BDFEB690CC}">
      <dgm:prSet/>
      <dgm:spPr/>
      <dgm:t>
        <a:bodyPr/>
        <a:lstStyle/>
        <a:p>
          <a:pPr algn="ctr"/>
          <a:endParaRPr lang="ru-RU"/>
        </a:p>
      </dgm:t>
    </dgm:pt>
    <dgm:pt modelId="{CDD83E09-D6A7-40E4-90B4-3FD6ADD2890B}">
      <dgm:prSet/>
      <dgm:spPr/>
      <dgm:t>
        <a:bodyPr/>
        <a:lstStyle/>
        <a:p>
          <a:pPr algn="ctr"/>
          <a:r>
            <a:rPr lang="ru-RU"/>
            <a:t>Строительство - эксплуатация - передача </a:t>
          </a:r>
        </a:p>
      </dgm:t>
    </dgm:pt>
    <dgm:pt modelId="{D1D41F48-9206-4697-BA47-137AD0B33EF3}" type="parTrans" cxnId="{0DAFEEBA-B8C0-4357-8CB0-BAB606FB4820}">
      <dgm:prSet/>
      <dgm:spPr/>
      <dgm:t>
        <a:bodyPr/>
        <a:lstStyle/>
        <a:p>
          <a:pPr algn="ctr"/>
          <a:endParaRPr lang="ru-RU"/>
        </a:p>
      </dgm:t>
    </dgm:pt>
    <dgm:pt modelId="{1F3EF7D0-35B0-4C4D-B8EC-E21A3DF4FB5A}" type="sibTrans" cxnId="{0DAFEEBA-B8C0-4357-8CB0-BAB606FB4820}">
      <dgm:prSet/>
      <dgm:spPr/>
      <dgm:t>
        <a:bodyPr/>
        <a:lstStyle/>
        <a:p>
          <a:pPr algn="ctr"/>
          <a:endParaRPr lang="ru-RU"/>
        </a:p>
      </dgm:t>
    </dgm:pt>
    <dgm:pt modelId="{94DF58E3-D95D-4CA5-AF50-F20C9999D3D7}">
      <dgm:prSet/>
      <dgm:spPr/>
      <dgm:t>
        <a:bodyPr/>
        <a:lstStyle/>
        <a:p>
          <a:pPr algn="ctr"/>
          <a:r>
            <a:rPr lang="ru-RU"/>
            <a:t>Договор аренды </a:t>
          </a:r>
        </a:p>
      </dgm:t>
    </dgm:pt>
    <dgm:pt modelId="{6DE70D7E-ED46-4C2D-B96C-DCA5DF93EFD8}" type="parTrans" cxnId="{887D1596-3504-43C8-AAC2-C441397C4926}">
      <dgm:prSet/>
      <dgm:spPr/>
      <dgm:t>
        <a:bodyPr/>
        <a:lstStyle/>
        <a:p>
          <a:pPr algn="ctr"/>
          <a:endParaRPr lang="ru-RU"/>
        </a:p>
      </dgm:t>
    </dgm:pt>
    <dgm:pt modelId="{4DD07729-6F47-4DA0-8604-DA4D1250BFA2}" type="sibTrans" cxnId="{887D1596-3504-43C8-AAC2-C441397C4926}">
      <dgm:prSet/>
      <dgm:spPr/>
      <dgm:t>
        <a:bodyPr/>
        <a:lstStyle/>
        <a:p>
          <a:pPr algn="ctr"/>
          <a:endParaRPr lang="ru-RU"/>
        </a:p>
      </dgm:t>
    </dgm:pt>
    <dgm:pt modelId="{2A2CBCE8-B938-4086-B08F-E0A40608D96B}">
      <dgm:prSet/>
      <dgm:spPr/>
      <dgm:t>
        <a:bodyPr/>
        <a:lstStyle/>
        <a:p>
          <a:pPr algn="ctr"/>
          <a:r>
            <a:rPr lang="ru-RU"/>
            <a:t>Строительство - владение - эксплуатация </a:t>
          </a:r>
        </a:p>
      </dgm:t>
    </dgm:pt>
    <dgm:pt modelId="{2249C238-BF14-48FB-9DCD-9A0AB91080EB}" type="parTrans" cxnId="{77B5CE9E-4A8C-4603-9FA2-254CEF2E25B0}">
      <dgm:prSet/>
      <dgm:spPr/>
      <dgm:t>
        <a:bodyPr/>
        <a:lstStyle/>
        <a:p>
          <a:pPr algn="ctr"/>
          <a:endParaRPr lang="ru-RU"/>
        </a:p>
      </dgm:t>
    </dgm:pt>
    <dgm:pt modelId="{72F431C7-4EEE-4DAE-B715-13DB6769578C}" type="sibTrans" cxnId="{77B5CE9E-4A8C-4603-9FA2-254CEF2E25B0}">
      <dgm:prSet/>
      <dgm:spPr/>
      <dgm:t>
        <a:bodyPr/>
        <a:lstStyle/>
        <a:p>
          <a:pPr algn="ctr"/>
          <a:endParaRPr lang="ru-RU"/>
        </a:p>
      </dgm:t>
    </dgm:pt>
    <dgm:pt modelId="{86910C75-CD51-4869-87BA-E30F8D1A9835}">
      <dgm:prSet/>
      <dgm:spPr/>
      <dgm:t>
        <a:bodyPr/>
        <a:lstStyle/>
        <a:p>
          <a:pPr algn="ctr"/>
          <a:r>
            <a:rPr lang="ru-RU"/>
            <a:t>Строительство - реконструкция - управление - передача </a:t>
          </a:r>
        </a:p>
      </dgm:t>
    </dgm:pt>
    <dgm:pt modelId="{D3C042AE-46E9-427E-B6F0-A195C5B2D5D2}" type="parTrans" cxnId="{9CDF0BAC-60E7-4326-8777-702EF704D37E}">
      <dgm:prSet/>
      <dgm:spPr/>
      <dgm:t>
        <a:bodyPr/>
        <a:lstStyle/>
        <a:p>
          <a:pPr algn="ctr"/>
          <a:endParaRPr lang="ru-RU"/>
        </a:p>
      </dgm:t>
    </dgm:pt>
    <dgm:pt modelId="{B3C4F950-6A78-44E0-A292-239DB610064A}" type="sibTrans" cxnId="{9CDF0BAC-60E7-4326-8777-702EF704D37E}">
      <dgm:prSet/>
      <dgm:spPr/>
      <dgm:t>
        <a:bodyPr/>
        <a:lstStyle/>
        <a:p>
          <a:pPr algn="ctr"/>
          <a:endParaRPr lang="ru-RU"/>
        </a:p>
      </dgm:t>
    </dgm:pt>
    <dgm:pt modelId="{554A7A35-FD23-4657-9367-6EBEB9EA52D6}">
      <dgm:prSet/>
      <dgm:spPr/>
      <dgm:t>
        <a:bodyPr/>
        <a:lstStyle/>
        <a:p>
          <a:pPr algn="ctr"/>
          <a:r>
            <a:rPr lang="ru-RU"/>
            <a:t>Коммерсант</a:t>
          </a:r>
        </a:p>
      </dgm:t>
    </dgm:pt>
    <dgm:pt modelId="{CBF6D01F-D578-4939-9945-E9AA65D241DA}" type="parTrans" cxnId="{375E360D-014A-4555-A255-2DC14935833A}">
      <dgm:prSet/>
      <dgm:spPr/>
      <dgm:t>
        <a:bodyPr/>
        <a:lstStyle/>
        <a:p>
          <a:pPr algn="ctr"/>
          <a:endParaRPr lang="ru-RU"/>
        </a:p>
      </dgm:t>
    </dgm:pt>
    <dgm:pt modelId="{668A90A6-96F0-4D1C-AEB2-192C2D18573D}" type="sibTrans" cxnId="{375E360D-014A-4555-A255-2DC14935833A}">
      <dgm:prSet/>
      <dgm:spPr/>
      <dgm:t>
        <a:bodyPr/>
        <a:lstStyle/>
        <a:p>
          <a:pPr algn="ctr"/>
          <a:endParaRPr lang="ru-RU"/>
        </a:p>
      </dgm:t>
    </dgm:pt>
    <dgm:pt modelId="{6CF8DBEE-63AB-4897-BD35-DAB889C8DA22}">
      <dgm:prSet/>
      <dgm:spPr/>
      <dgm:t>
        <a:bodyPr/>
        <a:lstStyle/>
        <a:p>
          <a:pPr algn="ctr"/>
          <a:r>
            <a:rPr lang="ru-RU"/>
            <a:t>Аренда</a:t>
          </a:r>
        </a:p>
      </dgm:t>
    </dgm:pt>
    <dgm:pt modelId="{973A6480-2409-4B30-BCD6-09ABA247292E}" type="parTrans" cxnId="{E5F2FFBE-B3B5-4B1B-9A52-5048AF15DA70}">
      <dgm:prSet/>
      <dgm:spPr/>
      <dgm:t>
        <a:bodyPr/>
        <a:lstStyle/>
        <a:p>
          <a:pPr algn="ctr"/>
          <a:endParaRPr lang="ru-RU"/>
        </a:p>
      </dgm:t>
    </dgm:pt>
    <dgm:pt modelId="{2177BBBF-1DAB-4D7E-98ED-0A0530FB8062}" type="sibTrans" cxnId="{E5F2FFBE-B3B5-4B1B-9A52-5048AF15DA70}">
      <dgm:prSet/>
      <dgm:spPr/>
      <dgm:t>
        <a:bodyPr/>
        <a:lstStyle/>
        <a:p>
          <a:pPr algn="ctr"/>
          <a:endParaRPr lang="ru-RU"/>
        </a:p>
      </dgm:t>
    </dgm:pt>
    <dgm:pt modelId="{183808B7-2CE4-470E-9B1F-3FBEE8D86298}" type="pres">
      <dgm:prSet presAssocID="{B3C1C91C-82C7-434E-BE6D-1F011C6C82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349C985-4F52-46FC-BFB1-B4DBC9B79BEA}" type="pres">
      <dgm:prSet presAssocID="{745E7E3A-EFA5-4A8E-A3AB-97E3CB741EBA}" presName="hierRoot1" presStyleCnt="0">
        <dgm:presLayoutVars>
          <dgm:hierBranch val="init"/>
        </dgm:presLayoutVars>
      </dgm:prSet>
      <dgm:spPr/>
    </dgm:pt>
    <dgm:pt modelId="{EAF4B23C-3ECF-48AE-900E-7593F25BDAC7}" type="pres">
      <dgm:prSet presAssocID="{745E7E3A-EFA5-4A8E-A3AB-97E3CB741EBA}" presName="rootComposite1" presStyleCnt="0"/>
      <dgm:spPr/>
    </dgm:pt>
    <dgm:pt modelId="{C69C680B-DD76-4084-8A1E-D7A4354CA2F6}" type="pres">
      <dgm:prSet presAssocID="{745E7E3A-EFA5-4A8E-A3AB-97E3CB741EB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39F8AF-82CC-47D7-8EA8-82FB4E8B133C}" type="pres">
      <dgm:prSet presAssocID="{745E7E3A-EFA5-4A8E-A3AB-97E3CB741EB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07480BA-6343-4442-9A79-25A15697E9DF}" type="pres">
      <dgm:prSet presAssocID="{745E7E3A-EFA5-4A8E-A3AB-97E3CB741EBA}" presName="hierChild2" presStyleCnt="0"/>
      <dgm:spPr/>
    </dgm:pt>
    <dgm:pt modelId="{2D675F24-C0B4-46C2-96A5-DCD1D328C33C}" type="pres">
      <dgm:prSet presAssocID="{4A462917-AB66-49AF-B750-9144FC0E97B8}" presName="Name37" presStyleLbl="parChTrans1D2" presStyleIdx="0" presStyleCnt="4"/>
      <dgm:spPr/>
      <dgm:t>
        <a:bodyPr/>
        <a:lstStyle/>
        <a:p>
          <a:endParaRPr lang="ru-RU"/>
        </a:p>
      </dgm:t>
    </dgm:pt>
    <dgm:pt modelId="{14B31194-FF10-4030-A869-B3AA4A25B89B}" type="pres">
      <dgm:prSet presAssocID="{1EEB3A59-6469-4EAF-8C57-399804BA8B0F}" presName="hierRoot2" presStyleCnt="0">
        <dgm:presLayoutVars>
          <dgm:hierBranch val="init"/>
        </dgm:presLayoutVars>
      </dgm:prSet>
      <dgm:spPr/>
    </dgm:pt>
    <dgm:pt modelId="{5A265F86-4985-4D61-BEB9-6A1BBB207781}" type="pres">
      <dgm:prSet presAssocID="{1EEB3A59-6469-4EAF-8C57-399804BA8B0F}" presName="rootComposite" presStyleCnt="0"/>
      <dgm:spPr/>
    </dgm:pt>
    <dgm:pt modelId="{AD30C6E5-82C9-41E2-977B-4D33D2DC6D6C}" type="pres">
      <dgm:prSet presAssocID="{1EEB3A59-6469-4EAF-8C57-399804BA8B0F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AB8D89-7128-42BC-A655-2D325E3A57A1}" type="pres">
      <dgm:prSet presAssocID="{1EEB3A59-6469-4EAF-8C57-399804BA8B0F}" presName="rootConnector" presStyleLbl="node2" presStyleIdx="0" presStyleCnt="4"/>
      <dgm:spPr/>
      <dgm:t>
        <a:bodyPr/>
        <a:lstStyle/>
        <a:p>
          <a:endParaRPr lang="ru-RU"/>
        </a:p>
      </dgm:t>
    </dgm:pt>
    <dgm:pt modelId="{4AAB8585-D1D7-4FCB-8668-AF0818F36028}" type="pres">
      <dgm:prSet presAssocID="{1EEB3A59-6469-4EAF-8C57-399804BA8B0F}" presName="hierChild4" presStyleCnt="0"/>
      <dgm:spPr/>
    </dgm:pt>
    <dgm:pt modelId="{0586985D-D84E-4907-9929-91CA24AE513F}" type="pres">
      <dgm:prSet presAssocID="{9F870D89-4FCF-4094-BFA0-89AFD46238C5}" presName="Name37" presStyleLbl="parChTrans1D3" presStyleIdx="0" presStyleCnt="12"/>
      <dgm:spPr/>
      <dgm:t>
        <a:bodyPr/>
        <a:lstStyle/>
        <a:p>
          <a:endParaRPr lang="ru-RU"/>
        </a:p>
      </dgm:t>
    </dgm:pt>
    <dgm:pt modelId="{876446AC-88F3-42F8-9653-B7DDD2B17B9C}" type="pres">
      <dgm:prSet presAssocID="{B027DB08-8DEE-43F9-B5D9-890793C07813}" presName="hierRoot2" presStyleCnt="0">
        <dgm:presLayoutVars>
          <dgm:hierBranch val="init"/>
        </dgm:presLayoutVars>
      </dgm:prSet>
      <dgm:spPr/>
    </dgm:pt>
    <dgm:pt modelId="{09C6583E-C3E4-495C-A5AE-65297ED6C576}" type="pres">
      <dgm:prSet presAssocID="{B027DB08-8DEE-43F9-B5D9-890793C07813}" presName="rootComposite" presStyleCnt="0"/>
      <dgm:spPr/>
    </dgm:pt>
    <dgm:pt modelId="{742B5836-5D43-4393-BEF8-1975104170E4}" type="pres">
      <dgm:prSet presAssocID="{B027DB08-8DEE-43F9-B5D9-890793C07813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3813EE-DF3A-4306-A872-E01CD33B2266}" type="pres">
      <dgm:prSet presAssocID="{B027DB08-8DEE-43F9-B5D9-890793C07813}" presName="rootConnector" presStyleLbl="node3" presStyleIdx="0" presStyleCnt="12"/>
      <dgm:spPr/>
      <dgm:t>
        <a:bodyPr/>
        <a:lstStyle/>
        <a:p>
          <a:endParaRPr lang="ru-RU"/>
        </a:p>
      </dgm:t>
    </dgm:pt>
    <dgm:pt modelId="{4A843449-8991-43A7-99C8-E7880C7B65F2}" type="pres">
      <dgm:prSet presAssocID="{B027DB08-8DEE-43F9-B5D9-890793C07813}" presName="hierChild4" presStyleCnt="0"/>
      <dgm:spPr/>
    </dgm:pt>
    <dgm:pt modelId="{E9D3D5FC-F509-4865-A503-DC1B5BDEF00E}" type="pres">
      <dgm:prSet presAssocID="{B027DB08-8DEE-43F9-B5D9-890793C07813}" presName="hierChild5" presStyleCnt="0"/>
      <dgm:spPr/>
    </dgm:pt>
    <dgm:pt modelId="{1388117D-CF00-488D-BC65-3CA7FE49D3A8}" type="pres">
      <dgm:prSet presAssocID="{6DE70D7E-ED46-4C2D-B96C-DCA5DF93EFD8}" presName="Name37" presStyleLbl="parChTrans1D3" presStyleIdx="1" presStyleCnt="12"/>
      <dgm:spPr/>
      <dgm:t>
        <a:bodyPr/>
        <a:lstStyle/>
        <a:p>
          <a:endParaRPr lang="ru-RU"/>
        </a:p>
      </dgm:t>
    </dgm:pt>
    <dgm:pt modelId="{3C6E5574-B84C-4AB1-9848-374A4DA4F469}" type="pres">
      <dgm:prSet presAssocID="{94DF58E3-D95D-4CA5-AF50-F20C9999D3D7}" presName="hierRoot2" presStyleCnt="0">
        <dgm:presLayoutVars>
          <dgm:hierBranch val="init"/>
        </dgm:presLayoutVars>
      </dgm:prSet>
      <dgm:spPr/>
    </dgm:pt>
    <dgm:pt modelId="{B4EC4150-4B18-4886-88D8-E1EA874EDCB5}" type="pres">
      <dgm:prSet presAssocID="{94DF58E3-D95D-4CA5-AF50-F20C9999D3D7}" presName="rootComposite" presStyleCnt="0"/>
      <dgm:spPr/>
    </dgm:pt>
    <dgm:pt modelId="{3EAE8730-54E9-4F11-9123-BB5DAEDD6883}" type="pres">
      <dgm:prSet presAssocID="{94DF58E3-D95D-4CA5-AF50-F20C9999D3D7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AB76FA-837C-4359-820C-88ECB1E38CB2}" type="pres">
      <dgm:prSet presAssocID="{94DF58E3-D95D-4CA5-AF50-F20C9999D3D7}" presName="rootConnector" presStyleLbl="node3" presStyleIdx="1" presStyleCnt="12"/>
      <dgm:spPr/>
      <dgm:t>
        <a:bodyPr/>
        <a:lstStyle/>
        <a:p>
          <a:endParaRPr lang="ru-RU"/>
        </a:p>
      </dgm:t>
    </dgm:pt>
    <dgm:pt modelId="{9CCB53D3-F058-4EC8-A6ED-9846A5C993C9}" type="pres">
      <dgm:prSet presAssocID="{94DF58E3-D95D-4CA5-AF50-F20C9999D3D7}" presName="hierChild4" presStyleCnt="0"/>
      <dgm:spPr/>
    </dgm:pt>
    <dgm:pt modelId="{6DA4ECBE-3B50-420B-9FF1-2A0CA5E1130C}" type="pres">
      <dgm:prSet presAssocID="{94DF58E3-D95D-4CA5-AF50-F20C9999D3D7}" presName="hierChild5" presStyleCnt="0"/>
      <dgm:spPr/>
    </dgm:pt>
    <dgm:pt modelId="{910D2F73-7010-495F-9554-87C7D82040E8}" type="pres">
      <dgm:prSet presAssocID="{1EEB3A59-6469-4EAF-8C57-399804BA8B0F}" presName="hierChild5" presStyleCnt="0"/>
      <dgm:spPr/>
    </dgm:pt>
    <dgm:pt modelId="{6CF04BAF-6CB5-4EBE-8526-4B26C53DBE4B}" type="pres">
      <dgm:prSet presAssocID="{8D5204FC-2C87-423F-8DE6-4BA7559F09B8}" presName="Name37" presStyleLbl="parChTrans1D2" presStyleIdx="1" presStyleCnt="4"/>
      <dgm:spPr/>
      <dgm:t>
        <a:bodyPr/>
        <a:lstStyle/>
        <a:p>
          <a:endParaRPr lang="ru-RU"/>
        </a:p>
      </dgm:t>
    </dgm:pt>
    <dgm:pt modelId="{B333630A-F2F8-420D-88BC-5A1DDE96C67C}" type="pres">
      <dgm:prSet presAssocID="{75B9E42A-1C38-467D-A977-8E9BC302A87A}" presName="hierRoot2" presStyleCnt="0">
        <dgm:presLayoutVars>
          <dgm:hierBranch val="init"/>
        </dgm:presLayoutVars>
      </dgm:prSet>
      <dgm:spPr/>
    </dgm:pt>
    <dgm:pt modelId="{923E4DD6-8DC5-4F84-B363-53AF2F352AE3}" type="pres">
      <dgm:prSet presAssocID="{75B9E42A-1C38-467D-A977-8E9BC302A87A}" presName="rootComposite" presStyleCnt="0"/>
      <dgm:spPr/>
    </dgm:pt>
    <dgm:pt modelId="{E8AAF75C-8C1D-4D89-B263-0C4A424A55FF}" type="pres">
      <dgm:prSet presAssocID="{75B9E42A-1C38-467D-A977-8E9BC302A87A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F8F95B-A32F-4225-A842-6C93FDA6B7CA}" type="pres">
      <dgm:prSet presAssocID="{75B9E42A-1C38-467D-A977-8E9BC302A87A}" presName="rootConnector" presStyleLbl="node2" presStyleIdx="1" presStyleCnt="4"/>
      <dgm:spPr/>
      <dgm:t>
        <a:bodyPr/>
        <a:lstStyle/>
        <a:p>
          <a:endParaRPr lang="ru-RU"/>
        </a:p>
      </dgm:t>
    </dgm:pt>
    <dgm:pt modelId="{4BD1058F-33AE-4897-B6A8-C6D960CB4565}" type="pres">
      <dgm:prSet presAssocID="{75B9E42A-1C38-467D-A977-8E9BC302A87A}" presName="hierChild4" presStyleCnt="0"/>
      <dgm:spPr/>
    </dgm:pt>
    <dgm:pt modelId="{A11FD2B6-1BFA-480E-B59A-A0868666D1C9}" type="pres">
      <dgm:prSet presAssocID="{3EF723F9-C2E9-414E-B3F4-5BC6C0ABB151}" presName="Name37" presStyleLbl="parChTrans1D3" presStyleIdx="2" presStyleCnt="12"/>
      <dgm:spPr/>
      <dgm:t>
        <a:bodyPr/>
        <a:lstStyle/>
        <a:p>
          <a:endParaRPr lang="ru-RU"/>
        </a:p>
      </dgm:t>
    </dgm:pt>
    <dgm:pt modelId="{487C4198-A668-44EF-AC3B-D81A471019AC}" type="pres">
      <dgm:prSet presAssocID="{8D5BF43D-CFEE-46A4-8B77-4B3496D9850E}" presName="hierRoot2" presStyleCnt="0">
        <dgm:presLayoutVars>
          <dgm:hierBranch val="init"/>
        </dgm:presLayoutVars>
      </dgm:prSet>
      <dgm:spPr/>
    </dgm:pt>
    <dgm:pt modelId="{AC1F1184-78BC-4228-A9C2-6A68AE1CABBD}" type="pres">
      <dgm:prSet presAssocID="{8D5BF43D-CFEE-46A4-8B77-4B3496D9850E}" presName="rootComposite" presStyleCnt="0"/>
      <dgm:spPr/>
    </dgm:pt>
    <dgm:pt modelId="{D25A85FA-C7B4-496C-AE57-1552FF98C4DD}" type="pres">
      <dgm:prSet presAssocID="{8D5BF43D-CFEE-46A4-8B77-4B3496D9850E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E01276-5F63-4147-BEA0-733F7C45176F}" type="pres">
      <dgm:prSet presAssocID="{8D5BF43D-CFEE-46A4-8B77-4B3496D9850E}" presName="rootConnector" presStyleLbl="node3" presStyleIdx="2" presStyleCnt="12"/>
      <dgm:spPr/>
      <dgm:t>
        <a:bodyPr/>
        <a:lstStyle/>
        <a:p>
          <a:endParaRPr lang="ru-RU"/>
        </a:p>
      </dgm:t>
    </dgm:pt>
    <dgm:pt modelId="{B43ABF8A-C8D7-4345-AF14-365156807966}" type="pres">
      <dgm:prSet presAssocID="{8D5BF43D-CFEE-46A4-8B77-4B3496D9850E}" presName="hierChild4" presStyleCnt="0"/>
      <dgm:spPr/>
    </dgm:pt>
    <dgm:pt modelId="{634D0C48-C6C6-4154-9D64-9D9DE102131C}" type="pres">
      <dgm:prSet presAssocID="{8D5BF43D-CFEE-46A4-8B77-4B3496D9850E}" presName="hierChild5" presStyleCnt="0"/>
      <dgm:spPr/>
    </dgm:pt>
    <dgm:pt modelId="{8EFD86F0-8375-4376-BB7E-E0F135FE9A51}" type="pres">
      <dgm:prSet presAssocID="{E0C54D8C-8173-46D6-ACB2-D5970C1C584C}" presName="Name37" presStyleLbl="parChTrans1D3" presStyleIdx="3" presStyleCnt="12"/>
      <dgm:spPr/>
      <dgm:t>
        <a:bodyPr/>
        <a:lstStyle/>
        <a:p>
          <a:endParaRPr lang="ru-RU"/>
        </a:p>
      </dgm:t>
    </dgm:pt>
    <dgm:pt modelId="{5B7C462C-8398-4C88-9394-EEB841AD349A}" type="pres">
      <dgm:prSet presAssocID="{B413ABE3-BECF-4527-ACEE-445E6BEB6314}" presName="hierRoot2" presStyleCnt="0">
        <dgm:presLayoutVars>
          <dgm:hierBranch val="init"/>
        </dgm:presLayoutVars>
      </dgm:prSet>
      <dgm:spPr/>
    </dgm:pt>
    <dgm:pt modelId="{2A19D194-DAF9-417B-BF15-89A9CA140EBE}" type="pres">
      <dgm:prSet presAssocID="{B413ABE3-BECF-4527-ACEE-445E6BEB6314}" presName="rootComposite" presStyleCnt="0"/>
      <dgm:spPr/>
    </dgm:pt>
    <dgm:pt modelId="{8C978C47-5D50-4607-85BF-666B2ABB88CF}" type="pres">
      <dgm:prSet presAssocID="{B413ABE3-BECF-4527-ACEE-445E6BEB6314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6361753-F8E5-4611-8ABE-0833FD44944A}" type="pres">
      <dgm:prSet presAssocID="{B413ABE3-BECF-4527-ACEE-445E6BEB6314}" presName="rootConnector" presStyleLbl="node3" presStyleIdx="3" presStyleCnt="12"/>
      <dgm:spPr/>
      <dgm:t>
        <a:bodyPr/>
        <a:lstStyle/>
        <a:p>
          <a:endParaRPr lang="ru-RU"/>
        </a:p>
      </dgm:t>
    </dgm:pt>
    <dgm:pt modelId="{71A58531-6B5B-4690-8E3C-D2CE04970DDC}" type="pres">
      <dgm:prSet presAssocID="{B413ABE3-BECF-4527-ACEE-445E6BEB6314}" presName="hierChild4" presStyleCnt="0"/>
      <dgm:spPr/>
    </dgm:pt>
    <dgm:pt modelId="{7A7D3EED-DB6D-4C0C-94B5-7085EC17FDAF}" type="pres">
      <dgm:prSet presAssocID="{B413ABE3-BECF-4527-ACEE-445E6BEB6314}" presName="hierChild5" presStyleCnt="0"/>
      <dgm:spPr/>
    </dgm:pt>
    <dgm:pt modelId="{E876C30F-163C-465A-BF71-B60032769B73}" type="pres">
      <dgm:prSet presAssocID="{D3C042AE-46E9-427E-B6F0-A195C5B2D5D2}" presName="Name37" presStyleLbl="parChTrans1D3" presStyleIdx="4" presStyleCnt="12"/>
      <dgm:spPr/>
      <dgm:t>
        <a:bodyPr/>
        <a:lstStyle/>
        <a:p>
          <a:endParaRPr lang="ru-RU"/>
        </a:p>
      </dgm:t>
    </dgm:pt>
    <dgm:pt modelId="{FD075A52-7E80-4B28-8A43-12A23F36281D}" type="pres">
      <dgm:prSet presAssocID="{86910C75-CD51-4869-87BA-E30F8D1A9835}" presName="hierRoot2" presStyleCnt="0">
        <dgm:presLayoutVars>
          <dgm:hierBranch val="init"/>
        </dgm:presLayoutVars>
      </dgm:prSet>
      <dgm:spPr/>
    </dgm:pt>
    <dgm:pt modelId="{C130FD27-9C16-452D-BDE1-136F92B2EBFC}" type="pres">
      <dgm:prSet presAssocID="{86910C75-CD51-4869-87BA-E30F8D1A9835}" presName="rootComposite" presStyleCnt="0"/>
      <dgm:spPr/>
    </dgm:pt>
    <dgm:pt modelId="{1F9CA69E-6F5E-4B6F-A04B-6A60CA831094}" type="pres">
      <dgm:prSet presAssocID="{86910C75-CD51-4869-87BA-E30F8D1A9835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94EDFF-29AC-4D0E-938C-278ECD550A70}" type="pres">
      <dgm:prSet presAssocID="{86910C75-CD51-4869-87BA-E30F8D1A9835}" presName="rootConnector" presStyleLbl="node3" presStyleIdx="4" presStyleCnt="12"/>
      <dgm:spPr/>
      <dgm:t>
        <a:bodyPr/>
        <a:lstStyle/>
        <a:p>
          <a:endParaRPr lang="ru-RU"/>
        </a:p>
      </dgm:t>
    </dgm:pt>
    <dgm:pt modelId="{36C30CC8-188C-4B9C-8730-B93F7313C7E6}" type="pres">
      <dgm:prSet presAssocID="{86910C75-CD51-4869-87BA-E30F8D1A9835}" presName="hierChild4" presStyleCnt="0"/>
      <dgm:spPr/>
    </dgm:pt>
    <dgm:pt modelId="{9ED158A8-EF97-4A76-96F4-E710EA1D3658}" type="pres">
      <dgm:prSet presAssocID="{86910C75-CD51-4869-87BA-E30F8D1A9835}" presName="hierChild5" presStyleCnt="0"/>
      <dgm:spPr/>
    </dgm:pt>
    <dgm:pt modelId="{8E074489-509A-4990-8F26-C4E117CE99E0}" type="pres">
      <dgm:prSet presAssocID="{75B9E42A-1C38-467D-A977-8E9BC302A87A}" presName="hierChild5" presStyleCnt="0"/>
      <dgm:spPr/>
    </dgm:pt>
    <dgm:pt modelId="{6BCF63DB-0769-41AD-AEE1-C5FC04006C3E}" type="pres">
      <dgm:prSet presAssocID="{E1F97CB4-53E5-449F-B243-E3E30387B1D5}" presName="Name37" presStyleLbl="parChTrans1D2" presStyleIdx="2" presStyleCnt="4"/>
      <dgm:spPr/>
      <dgm:t>
        <a:bodyPr/>
        <a:lstStyle/>
        <a:p>
          <a:endParaRPr lang="ru-RU"/>
        </a:p>
      </dgm:t>
    </dgm:pt>
    <dgm:pt modelId="{FCFC8F09-263B-4EFD-A568-EBDDC1A9AFC7}" type="pres">
      <dgm:prSet presAssocID="{38DE186B-3963-42CA-A2A7-DC2D0FCF1866}" presName="hierRoot2" presStyleCnt="0">
        <dgm:presLayoutVars>
          <dgm:hierBranch val="init"/>
        </dgm:presLayoutVars>
      </dgm:prSet>
      <dgm:spPr/>
    </dgm:pt>
    <dgm:pt modelId="{28C00880-84CE-4021-88EA-562F04E65C36}" type="pres">
      <dgm:prSet presAssocID="{38DE186B-3963-42CA-A2A7-DC2D0FCF1866}" presName="rootComposite" presStyleCnt="0"/>
      <dgm:spPr/>
    </dgm:pt>
    <dgm:pt modelId="{BD3F3B5C-8E1A-459A-B38B-A5B8E00E1DE9}" type="pres">
      <dgm:prSet presAssocID="{38DE186B-3963-42CA-A2A7-DC2D0FCF1866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8ED77B-B214-4C49-B2F4-17AEB5D77811}" type="pres">
      <dgm:prSet presAssocID="{38DE186B-3963-42CA-A2A7-DC2D0FCF1866}" presName="rootConnector" presStyleLbl="node2" presStyleIdx="2" presStyleCnt="4"/>
      <dgm:spPr/>
      <dgm:t>
        <a:bodyPr/>
        <a:lstStyle/>
        <a:p>
          <a:endParaRPr lang="ru-RU"/>
        </a:p>
      </dgm:t>
    </dgm:pt>
    <dgm:pt modelId="{6F4E4B4D-A719-4D17-9698-B630689A0480}" type="pres">
      <dgm:prSet presAssocID="{38DE186B-3963-42CA-A2A7-DC2D0FCF1866}" presName="hierChild4" presStyleCnt="0"/>
      <dgm:spPr/>
    </dgm:pt>
    <dgm:pt modelId="{49DC18A9-BCCA-4FF2-A0AF-98F37A097ADF}" type="pres">
      <dgm:prSet presAssocID="{73B5DACF-40AB-4639-B8F7-6B7EBABB503B}" presName="Name37" presStyleLbl="parChTrans1D3" presStyleIdx="5" presStyleCnt="12"/>
      <dgm:spPr/>
      <dgm:t>
        <a:bodyPr/>
        <a:lstStyle/>
        <a:p>
          <a:endParaRPr lang="ru-RU"/>
        </a:p>
      </dgm:t>
    </dgm:pt>
    <dgm:pt modelId="{BF016C89-6014-4B71-8331-B79059CB8240}" type="pres">
      <dgm:prSet presAssocID="{F7210F55-C118-41A6-97DA-922986A87B49}" presName="hierRoot2" presStyleCnt="0">
        <dgm:presLayoutVars>
          <dgm:hierBranch val="init"/>
        </dgm:presLayoutVars>
      </dgm:prSet>
      <dgm:spPr/>
    </dgm:pt>
    <dgm:pt modelId="{1A2EEC62-71A3-46D0-AC16-5E0281017875}" type="pres">
      <dgm:prSet presAssocID="{F7210F55-C118-41A6-97DA-922986A87B49}" presName="rootComposite" presStyleCnt="0"/>
      <dgm:spPr/>
    </dgm:pt>
    <dgm:pt modelId="{E0466857-1218-41AC-AD3D-A1E48C5812FE}" type="pres">
      <dgm:prSet presAssocID="{F7210F55-C118-41A6-97DA-922986A87B49}" presName="rootText" presStyleLbl="node3" presStyleIdx="5" presStyleCnt="12" custLinFactNeighborY="583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C9106F-934C-46C6-A99E-CB1B3BFE4338}" type="pres">
      <dgm:prSet presAssocID="{F7210F55-C118-41A6-97DA-922986A87B49}" presName="rootConnector" presStyleLbl="node3" presStyleIdx="5" presStyleCnt="12"/>
      <dgm:spPr/>
      <dgm:t>
        <a:bodyPr/>
        <a:lstStyle/>
        <a:p>
          <a:endParaRPr lang="ru-RU"/>
        </a:p>
      </dgm:t>
    </dgm:pt>
    <dgm:pt modelId="{8439E33E-4354-46FA-9DB2-12BDFC3C0F17}" type="pres">
      <dgm:prSet presAssocID="{F7210F55-C118-41A6-97DA-922986A87B49}" presName="hierChild4" presStyleCnt="0"/>
      <dgm:spPr/>
    </dgm:pt>
    <dgm:pt modelId="{3D0B761B-9D6A-4ACE-B9AA-31D888FBF1B4}" type="pres">
      <dgm:prSet presAssocID="{F7210F55-C118-41A6-97DA-922986A87B49}" presName="hierChild5" presStyleCnt="0"/>
      <dgm:spPr/>
    </dgm:pt>
    <dgm:pt modelId="{CD125953-B136-4EC0-92C9-B8755C9CA6CC}" type="pres">
      <dgm:prSet presAssocID="{D1D41F48-9206-4697-BA47-137AD0B33EF3}" presName="Name37" presStyleLbl="parChTrans1D3" presStyleIdx="6" presStyleCnt="12"/>
      <dgm:spPr/>
      <dgm:t>
        <a:bodyPr/>
        <a:lstStyle/>
        <a:p>
          <a:endParaRPr lang="ru-RU"/>
        </a:p>
      </dgm:t>
    </dgm:pt>
    <dgm:pt modelId="{52FE460D-E334-4246-A6BB-192B1F687377}" type="pres">
      <dgm:prSet presAssocID="{CDD83E09-D6A7-40E4-90B4-3FD6ADD2890B}" presName="hierRoot2" presStyleCnt="0">
        <dgm:presLayoutVars>
          <dgm:hierBranch val="init"/>
        </dgm:presLayoutVars>
      </dgm:prSet>
      <dgm:spPr/>
    </dgm:pt>
    <dgm:pt modelId="{09971BF2-17B5-4061-B3B2-0833A158036C}" type="pres">
      <dgm:prSet presAssocID="{CDD83E09-D6A7-40E4-90B4-3FD6ADD2890B}" presName="rootComposite" presStyleCnt="0"/>
      <dgm:spPr/>
    </dgm:pt>
    <dgm:pt modelId="{942CC2C0-9CDC-487C-9BE2-14D15998052C}" type="pres">
      <dgm:prSet presAssocID="{CDD83E09-D6A7-40E4-90B4-3FD6ADD2890B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177884-2575-4721-BC04-9AEED81B6EBA}" type="pres">
      <dgm:prSet presAssocID="{CDD83E09-D6A7-40E4-90B4-3FD6ADD2890B}" presName="rootConnector" presStyleLbl="node3" presStyleIdx="6" presStyleCnt="12"/>
      <dgm:spPr/>
      <dgm:t>
        <a:bodyPr/>
        <a:lstStyle/>
        <a:p>
          <a:endParaRPr lang="ru-RU"/>
        </a:p>
      </dgm:t>
    </dgm:pt>
    <dgm:pt modelId="{235AB88C-87C8-47D1-B406-9357ACFDEC9C}" type="pres">
      <dgm:prSet presAssocID="{CDD83E09-D6A7-40E4-90B4-3FD6ADD2890B}" presName="hierChild4" presStyleCnt="0"/>
      <dgm:spPr/>
    </dgm:pt>
    <dgm:pt modelId="{A4D04D27-15EA-4055-BE38-CE8042F62FEC}" type="pres">
      <dgm:prSet presAssocID="{CDD83E09-D6A7-40E4-90B4-3FD6ADD2890B}" presName="hierChild5" presStyleCnt="0"/>
      <dgm:spPr/>
    </dgm:pt>
    <dgm:pt modelId="{BB2D4996-3C6B-4C76-9A76-F85D676E3CE2}" type="pres">
      <dgm:prSet presAssocID="{2249C238-BF14-48FB-9DCD-9A0AB91080EB}" presName="Name37" presStyleLbl="parChTrans1D3" presStyleIdx="7" presStyleCnt="12"/>
      <dgm:spPr/>
      <dgm:t>
        <a:bodyPr/>
        <a:lstStyle/>
        <a:p>
          <a:endParaRPr lang="ru-RU"/>
        </a:p>
      </dgm:t>
    </dgm:pt>
    <dgm:pt modelId="{644F316A-B1A0-4FDC-9597-BCEAA5D6E04F}" type="pres">
      <dgm:prSet presAssocID="{2A2CBCE8-B938-4086-B08F-E0A40608D96B}" presName="hierRoot2" presStyleCnt="0">
        <dgm:presLayoutVars>
          <dgm:hierBranch val="init"/>
        </dgm:presLayoutVars>
      </dgm:prSet>
      <dgm:spPr/>
    </dgm:pt>
    <dgm:pt modelId="{DE9585BD-A080-4C57-9102-63160374834F}" type="pres">
      <dgm:prSet presAssocID="{2A2CBCE8-B938-4086-B08F-E0A40608D96B}" presName="rootComposite" presStyleCnt="0"/>
      <dgm:spPr/>
    </dgm:pt>
    <dgm:pt modelId="{7B918DDA-72D2-4FF9-8B22-748A5B5937D6}" type="pres">
      <dgm:prSet presAssocID="{2A2CBCE8-B938-4086-B08F-E0A40608D96B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822065-D220-4E8D-A768-3992C796F39C}" type="pres">
      <dgm:prSet presAssocID="{2A2CBCE8-B938-4086-B08F-E0A40608D96B}" presName="rootConnector" presStyleLbl="node3" presStyleIdx="7" presStyleCnt="12"/>
      <dgm:spPr/>
      <dgm:t>
        <a:bodyPr/>
        <a:lstStyle/>
        <a:p>
          <a:endParaRPr lang="ru-RU"/>
        </a:p>
      </dgm:t>
    </dgm:pt>
    <dgm:pt modelId="{58901550-C87C-49A0-AD0D-E474E2CC8B8E}" type="pres">
      <dgm:prSet presAssocID="{2A2CBCE8-B938-4086-B08F-E0A40608D96B}" presName="hierChild4" presStyleCnt="0"/>
      <dgm:spPr/>
    </dgm:pt>
    <dgm:pt modelId="{2BD93A1E-F720-4616-8A04-98B4CCEADC4F}" type="pres">
      <dgm:prSet presAssocID="{2A2CBCE8-B938-4086-B08F-E0A40608D96B}" presName="hierChild5" presStyleCnt="0"/>
      <dgm:spPr/>
    </dgm:pt>
    <dgm:pt modelId="{E75CC627-CD64-415D-800E-29CAEED9FC31}" type="pres">
      <dgm:prSet presAssocID="{CBF6D01F-D578-4939-9945-E9AA65D241DA}" presName="Name37" presStyleLbl="parChTrans1D3" presStyleIdx="8" presStyleCnt="12"/>
      <dgm:spPr/>
      <dgm:t>
        <a:bodyPr/>
        <a:lstStyle/>
        <a:p>
          <a:endParaRPr lang="ru-RU"/>
        </a:p>
      </dgm:t>
    </dgm:pt>
    <dgm:pt modelId="{9DD4C373-EAAD-4E7C-8142-5F06C4E3BD05}" type="pres">
      <dgm:prSet presAssocID="{554A7A35-FD23-4657-9367-6EBEB9EA52D6}" presName="hierRoot2" presStyleCnt="0">
        <dgm:presLayoutVars>
          <dgm:hierBranch val="init"/>
        </dgm:presLayoutVars>
      </dgm:prSet>
      <dgm:spPr/>
    </dgm:pt>
    <dgm:pt modelId="{2A53D8B6-95C5-4065-8581-9F4D6824166B}" type="pres">
      <dgm:prSet presAssocID="{554A7A35-FD23-4657-9367-6EBEB9EA52D6}" presName="rootComposite" presStyleCnt="0"/>
      <dgm:spPr/>
    </dgm:pt>
    <dgm:pt modelId="{431B6021-DB12-4D3E-A499-137CD96E3AA9}" type="pres">
      <dgm:prSet presAssocID="{554A7A35-FD23-4657-9367-6EBEB9EA52D6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EF5BDB-95A6-46D9-8C6B-56CA4F7823A4}" type="pres">
      <dgm:prSet presAssocID="{554A7A35-FD23-4657-9367-6EBEB9EA52D6}" presName="rootConnector" presStyleLbl="node3" presStyleIdx="8" presStyleCnt="12"/>
      <dgm:spPr/>
      <dgm:t>
        <a:bodyPr/>
        <a:lstStyle/>
        <a:p>
          <a:endParaRPr lang="ru-RU"/>
        </a:p>
      </dgm:t>
    </dgm:pt>
    <dgm:pt modelId="{C46DF50C-8469-4A3A-9FC0-7B8BF9BF81DD}" type="pres">
      <dgm:prSet presAssocID="{554A7A35-FD23-4657-9367-6EBEB9EA52D6}" presName="hierChild4" presStyleCnt="0"/>
      <dgm:spPr/>
    </dgm:pt>
    <dgm:pt modelId="{4741934E-98B5-4E6F-9931-59EA70BC1AAE}" type="pres">
      <dgm:prSet presAssocID="{554A7A35-FD23-4657-9367-6EBEB9EA52D6}" presName="hierChild5" presStyleCnt="0"/>
      <dgm:spPr/>
    </dgm:pt>
    <dgm:pt modelId="{B90225E9-1936-46FC-BB11-E2B18B815EA5}" type="pres">
      <dgm:prSet presAssocID="{973A6480-2409-4B30-BCD6-09ABA247292E}" presName="Name37" presStyleLbl="parChTrans1D3" presStyleIdx="9" presStyleCnt="12"/>
      <dgm:spPr/>
      <dgm:t>
        <a:bodyPr/>
        <a:lstStyle/>
        <a:p>
          <a:endParaRPr lang="ru-RU"/>
        </a:p>
      </dgm:t>
    </dgm:pt>
    <dgm:pt modelId="{5E756816-D16D-4A9A-9FEE-B48B6575BB74}" type="pres">
      <dgm:prSet presAssocID="{6CF8DBEE-63AB-4897-BD35-DAB889C8DA22}" presName="hierRoot2" presStyleCnt="0">
        <dgm:presLayoutVars>
          <dgm:hierBranch val="init"/>
        </dgm:presLayoutVars>
      </dgm:prSet>
      <dgm:spPr/>
    </dgm:pt>
    <dgm:pt modelId="{61F5FDA0-673E-401C-881B-3BBF38D0E72E}" type="pres">
      <dgm:prSet presAssocID="{6CF8DBEE-63AB-4897-BD35-DAB889C8DA22}" presName="rootComposite" presStyleCnt="0"/>
      <dgm:spPr/>
    </dgm:pt>
    <dgm:pt modelId="{ED72266B-F13F-4ABB-B7D2-3B2E5DC88AEF}" type="pres">
      <dgm:prSet presAssocID="{6CF8DBEE-63AB-4897-BD35-DAB889C8DA22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20EB50-C81A-4DED-B264-F15FC26B17C3}" type="pres">
      <dgm:prSet presAssocID="{6CF8DBEE-63AB-4897-BD35-DAB889C8DA22}" presName="rootConnector" presStyleLbl="node3" presStyleIdx="9" presStyleCnt="12"/>
      <dgm:spPr/>
      <dgm:t>
        <a:bodyPr/>
        <a:lstStyle/>
        <a:p>
          <a:endParaRPr lang="ru-RU"/>
        </a:p>
      </dgm:t>
    </dgm:pt>
    <dgm:pt modelId="{4511E49E-B912-453E-9CB7-A583CF2FAE84}" type="pres">
      <dgm:prSet presAssocID="{6CF8DBEE-63AB-4897-BD35-DAB889C8DA22}" presName="hierChild4" presStyleCnt="0"/>
      <dgm:spPr/>
    </dgm:pt>
    <dgm:pt modelId="{E972F901-5D3C-40C0-8EDE-AD20B7024C72}" type="pres">
      <dgm:prSet presAssocID="{6CF8DBEE-63AB-4897-BD35-DAB889C8DA22}" presName="hierChild5" presStyleCnt="0"/>
      <dgm:spPr/>
    </dgm:pt>
    <dgm:pt modelId="{B1C664F9-1196-4A66-B5A5-9A69E5A4EB4E}" type="pres">
      <dgm:prSet presAssocID="{38DE186B-3963-42CA-A2A7-DC2D0FCF1866}" presName="hierChild5" presStyleCnt="0"/>
      <dgm:spPr/>
    </dgm:pt>
    <dgm:pt modelId="{9CF6B302-3E52-4810-8FC8-D44C2ACC8281}" type="pres">
      <dgm:prSet presAssocID="{35A203AD-344B-4AC3-B7D8-A916BF21B7B2}" presName="Name37" presStyleLbl="parChTrans1D2" presStyleIdx="3" presStyleCnt="4"/>
      <dgm:spPr/>
      <dgm:t>
        <a:bodyPr/>
        <a:lstStyle/>
        <a:p>
          <a:endParaRPr lang="ru-RU"/>
        </a:p>
      </dgm:t>
    </dgm:pt>
    <dgm:pt modelId="{C15803E8-1B96-427B-A938-8A58B67CD8DA}" type="pres">
      <dgm:prSet presAssocID="{F481AC6E-B6F5-4C3E-9245-4E6EB1CB4C44}" presName="hierRoot2" presStyleCnt="0">
        <dgm:presLayoutVars>
          <dgm:hierBranch val="init"/>
        </dgm:presLayoutVars>
      </dgm:prSet>
      <dgm:spPr/>
    </dgm:pt>
    <dgm:pt modelId="{74B4C84C-BA28-420C-964B-FF8B9897942C}" type="pres">
      <dgm:prSet presAssocID="{F481AC6E-B6F5-4C3E-9245-4E6EB1CB4C44}" presName="rootComposite" presStyleCnt="0"/>
      <dgm:spPr/>
    </dgm:pt>
    <dgm:pt modelId="{166B8220-588E-4C20-A58B-846DFA93F157}" type="pres">
      <dgm:prSet presAssocID="{F481AC6E-B6F5-4C3E-9245-4E6EB1CB4C44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35FF3BB-9B4A-48D8-BAD7-B2B4E6A9854D}" type="pres">
      <dgm:prSet presAssocID="{F481AC6E-B6F5-4C3E-9245-4E6EB1CB4C44}" presName="rootConnector" presStyleLbl="node2" presStyleIdx="3" presStyleCnt="4"/>
      <dgm:spPr/>
      <dgm:t>
        <a:bodyPr/>
        <a:lstStyle/>
        <a:p>
          <a:endParaRPr lang="ru-RU"/>
        </a:p>
      </dgm:t>
    </dgm:pt>
    <dgm:pt modelId="{77B9AC1A-D184-4DB7-B5E3-CFB94E3EEF99}" type="pres">
      <dgm:prSet presAssocID="{F481AC6E-B6F5-4C3E-9245-4E6EB1CB4C44}" presName="hierChild4" presStyleCnt="0"/>
      <dgm:spPr/>
    </dgm:pt>
    <dgm:pt modelId="{4C147995-B9A8-4DA7-BCE3-DF122592CEFA}" type="pres">
      <dgm:prSet presAssocID="{5AB3AFF0-6E79-4983-B7A3-C4CD06E81FF5}" presName="Name37" presStyleLbl="parChTrans1D3" presStyleIdx="10" presStyleCnt="12"/>
      <dgm:spPr/>
      <dgm:t>
        <a:bodyPr/>
        <a:lstStyle/>
        <a:p>
          <a:endParaRPr lang="ru-RU"/>
        </a:p>
      </dgm:t>
    </dgm:pt>
    <dgm:pt modelId="{E6E727FC-2207-4438-94C5-41013B490344}" type="pres">
      <dgm:prSet presAssocID="{5E76A88F-E3DF-4AB3-93E1-5EF3AD815294}" presName="hierRoot2" presStyleCnt="0">
        <dgm:presLayoutVars>
          <dgm:hierBranch val="init"/>
        </dgm:presLayoutVars>
      </dgm:prSet>
      <dgm:spPr/>
    </dgm:pt>
    <dgm:pt modelId="{85EA9C77-0898-4426-B1A9-4DA8785BF2B1}" type="pres">
      <dgm:prSet presAssocID="{5E76A88F-E3DF-4AB3-93E1-5EF3AD815294}" presName="rootComposite" presStyleCnt="0"/>
      <dgm:spPr/>
    </dgm:pt>
    <dgm:pt modelId="{80C53F53-8BB5-4A28-BCAA-9B8F675F6A01}" type="pres">
      <dgm:prSet presAssocID="{5E76A88F-E3DF-4AB3-93E1-5EF3AD815294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36FC55-1A98-4C19-A47E-1CDA0D244A2D}" type="pres">
      <dgm:prSet presAssocID="{5E76A88F-E3DF-4AB3-93E1-5EF3AD815294}" presName="rootConnector" presStyleLbl="node3" presStyleIdx="10" presStyleCnt="12"/>
      <dgm:spPr/>
      <dgm:t>
        <a:bodyPr/>
        <a:lstStyle/>
        <a:p>
          <a:endParaRPr lang="ru-RU"/>
        </a:p>
      </dgm:t>
    </dgm:pt>
    <dgm:pt modelId="{8F890BB9-8E36-48EB-AD94-850CD82C4E1D}" type="pres">
      <dgm:prSet presAssocID="{5E76A88F-E3DF-4AB3-93E1-5EF3AD815294}" presName="hierChild4" presStyleCnt="0"/>
      <dgm:spPr/>
    </dgm:pt>
    <dgm:pt modelId="{654DD259-6684-4700-9A48-84D22A61A586}" type="pres">
      <dgm:prSet presAssocID="{5E76A88F-E3DF-4AB3-93E1-5EF3AD815294}" presName="hierChild5" presStyleCnt="0"/>
      <dgm:spPr/>
    </dgm:pt>
    <dgm:pt modelId="{32AE8488-6FF9-4E32-AB55-CEB5CB22BCD3}" type="pres">
      <dgm:prSet presAssocID="{A8E3A6D1-95F4-4051-A149-4D88604BBE04}" presName="Name37" presStyleLbl="parChTrans1D3" presStyleIdx="11" presStyleCnt="12"/>
      <dgm:spPr/>
      <dgm:t>
        <a:bodyPr/>
        <a:lstStyle/>
        <a:p>
          <a:endParaRPr lang="ru-RU"/>
        </a:p>
      </dgm:t>
    </dgm:pt>
    <dgm:pt modelId="{ABAA0F6C-C2DF-46B2-9EB4-EB9380F8ABB6}" type="pres">
      <dgm:prSet presAssocID="{AF4ACA02-2DAF-4425-837A-B9AB7035787D}" presName="hierRoot2" presStyleCnt="0">
        <dgm:presLayoutVars>
          <dgm:hierBranch val="init"/>
        </dgm:presLayoutVars>
      </dgm:prSet>
      <dgm:spPr/>
    </dgm:pt>
    <dgm:pt modelId="{0BA43370-E6BF-43DA-A3D4-DB4455AA1D2A}" type="pres">
      <dgm:prSet presAssocID="{AF4ACA02-2DAF-4425-837A-B9AB7035787D}" presName="rootComposite" presStyleCnt="0"/>
      <dgm:spPr/>
    </dgm:pt>
    <dgm:pt modelId="{EABDFF00-2D75-4D0F-ACB4-14B9045A68AE}" type="pres">
      <dgm:prSet presAssocID="{AF4ACA02-2DAF-4425-837A-B9AB7035787D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8DBBBE-5562-4AB6-AFCB-63EACD740308}" type="pres">
      <dgm:prSet presAssocID="{AF4ACA02-2DAF-4425-837A-B9AB7035787D}" presName="rootConnector" presStyleLbl="node3" presStyleIdx="11" presStyleCnt="12"/>
      <dgm:spPr/>
      <dgm:t>
        <a:bodyPr/>
        <a:lstStyle/>
        <a:p>
          <a:endParaRPr lang="ru-RU"/>
        </a:p>
      </dgm:t>
    </dgm:pt>
    <dgm:pt modelId="{F6DBA386-666B-47C7-8770-972764D0B8E7}" type="pres">
      <dgm:prSet presAssocID="{AF4ACA02-2DAF-4425-837A-B9AB7035787D}" presName="hierChild4" presStyleCnt="0"/>
      <dgm:spPr/>
    </dgm:pt>
    <dgm:pt modelId="{BAC9F208-7514-4040-A514-197E46E4F477}" type="pres">
      <dgm:prSet presAssocID="{AF4ACA02-2DAF-4425-837A-B9AB7035787D}" presName="hierChild5" presStyleCnt="0"/>
      <dgm:spPr/>
    </dgm:pt>
    <dgm:pt modelId="{145B8AB5-6A24-4A9C-A818-8CFC1563606F}" type="pres">
      <dgm:prSet presAssocID="{F481AC6E-B6F5-4C3E-9245-4E6EB1CB4C44}" presName="hierChild5" presStyleCnt="0"/>
      <dgm:spPr/>
    </dgm:pt>
    <dgm:pt modelId="{60CECA09-768D-4C11-9C7D-CB55B8DCA696}" type="pres">
      <dgm:prSet presAssocID="{745E7E3A-EFA5-4A8E-A3AB-97E3CB741EBA}" presName="hierChild3" presStyleCnt="0"/>
      <dgm:spPr/>
    </dgm:pt>
  </dgm:ptLst>
  <dgm:cxnLst>
    <dgm:cxn modelId="{67444BD6-4C27-4E98-983A-32B4D93EA3E1}" type="presOf" srcId="{CDD83E09-D6A7-40E4-90B4-3FD6ADD2890B}" destId="{B8177884-2575-4721-BC04-9AEED81B6EBA}" srcOrd="1" destOrd="0" presId="urn:microsoft.com/office/officeart/2005/8/layout/orgChart1"/>
    <dgm:cxn modelId="{F5E09EC9-7F86-4058-8B04-E6E73E996FB9}" type="presOf" srcId="{E0C54D8C-8173-46D6-ACB2-D5970C1C584C}" destId="{8EFD86F0-8375-4376-BB7E-E0F135FE9A51}" srcOrd="0" destOrd="0" presId="urn:microsoft.com/office/officeart/2005/8/layout/orgChart1"/>
    <dgm:cxn modelId="{3F4A42DC-1468-4DF0-8AFF-529BE52641D5}" srcId="{745E7E3A-EFA5-4A8E-A3AB-97E3CB741EBA}" destId="{38DE186B-3963-42CA-A2A7-DC2D0FCF1866}" srcOrd="2" destOrd="0" parTransId="{E1F97CB4-53E5-449F-B243-E3E30387B1D5}" sibTransId="{5A9D2442-82B0-4CCE-A5DF-2BB299E68980}"/>
    <dgm:cxn modelId="{0B66B1A6-EE66-4881-82D8-F3A570F13792}" type="presOf" srcId="{8D5204FC-2C87-423F-8DE6-4BA7559F09B8}" destId="{6CF04BAF-6CB5-4EBE-8526-4B26C53DBE4B}" srcOrd="0" destOrd="0" presId="urn:microsoft.com/office/officeart/2005/8/layout/orgChart1"/>
    <dgm:cxn modelId="{D3CE1CED-A74F-4A06-A225-F55BFEF72856}" type="presOf" srcId="{D3C042AE-46E9-427E-B6F0-A195C5B2D5D2}" destId="{E876C30F-163C-465A-BF71-B60032769B73}" srcOrd="0" destOrd="0" presId="urn:microsoft.com/office/officeart/2005/8/layout/orgChart1"/>
    <dgm:cxn modelId="{9AEE177E-1BFC-4294-BD54-7A450E2F13C1}" type="presOf" srcId="{B3C1C91C-82C7-434E-BE6D-1F011C6C82EB}" destId="{183808B7-2CE4-470E-9B1F-3FBEE8D86298}" srcOrd="0" destOrd="0" presId="urn:microsoft.com/office/officeart/2005/8/layout/orgChart1"/>
    <dgm:cxn modelId="{50F75D12-2D5D-4EF6-925E-BBD9FE1DA6DA}" type="presOf" srcId="{8D5BF43D-CFEE-46A4-8B77-4B3496D9850E}" destId="{D25A85FA-C7B4-496C-AE57-1552FF98C4DD}" srcOrd="0" destOrd="0" presId="urn:microsoft.com/office/officeart/2005/8/layout/orgChart1"/>
    <dgm:cxn modelId="{7C6DC80E-676A-4AEC-A0A2-6AE0B2513806}" srcId="{75B9E42A-1C38-467D-A977-8E9BC302A87A}" destId="{8D5BF43D-CFEE-46A4-8B77-4B3496D9850E}" srcOrd="0" destOrd="0" parTransId="{3EF723F9-C2E9-414E-B3F4-5BC6C0ABB151}" sibTransId="{7DD61267-8E17-4543-BE10-634C112B616D}"/>
    <dgm:cxn modelId="{95677F7C-3A4A-4DF5-A3D6-DAF85B9D8BCC}" type="presOf" srcId="{5E76A88F-E3DF-4AB3-93E1-5EF3AD815294}" destId="{80C53F53-8BB5-4A28-BCAA-9B8F675F6A01}" srcOrd="0" destOrd="0" presId="urn:microsoft.com/office/officeart/2005/8/layout/orgChart1"/>
    <dgm:cxn modelId="{36A383AE-F94D-4429-91F1-A7BDFEB690CC}" srcId="{F481AC6E-B6F5-4C3E-9245-4E6EB1CB4C44}" destId="{AF4ACA02-2DAF-4425-837A-B9AB7035787D}" srcOrd="1" destOrd="0" parTransId="{A8E3A6D1-95F4-4051-A149-4D88604BBE04}" sibTransId="{94929256-53D9-4F58-95C2-DEDD434FB34A}"/>
    <dgm:cxn modelId="{46BFB26E-D9A3-4FFA-966E-C0CFB93E4F19}" srcId="{745E7E3A-EFA5-4A8E-A3AB-97E3CB741EBA}" destId="{75B9E42A-1C38-467D-A977-8E9BC302A87A}" srcOrd="1" destOrd="0" parTransId="{8D5204FC-2C87-423F-8DE6-4BA7559F09B8}" sibTransId="{43D04AFF-D1A7-482B-A8FF-D3EF897AC64C}"/>
    <dgm:cxn modelId="{99122F60-C508-4FC6-A999-265C5346ADAC}" srcId="{75B9E42A-1C38-467D-A977-8E9BC302A87A}" destId="{B413ABE3-BECF-4527-ACEE-445E6BEB6314}" srcOrd="1" destOrd="0" parTransId="{E0C54D8C-8173-46D6-ACB2-D5970C1C584C}" sibTransId="{559D5261-BC4E-4A74-951E-4E7B0458D63B}"/>
    <dgm:cxn modelId="{DA7D4634-E711-43D3-B9B7-E15BE7EB5916}" type="presOf" srcId="{6CF8DBEE-63AB-4897-BD35-DAB889C8DA22}" destId="{2F20EB50-C81A-4DED-B264-F15FC26B17C3}" srcOrd="1" destOrd="0" presId="urn:microsoft.com/office/officeart/2005/8/layout/orgChart1"/>
    <dgm:cxn modelId="{8714D2BB-3596-4B16-B2D7-3DB31AFCC16F}" type="presOf" srcId="{1EEB3A59-6469-4EAF-8C57-399804BA8B0F}" destId="{AD30C6E5-82C9-41E2-977B-4D33D2DC6D6C}" srcOrd="0" destOrd="0" presId="urn:microsoft.com/office/officeart/2005/8/layout/orgChart1"/>
    <dgm:cxn modelId="{F4BEC356-531D-4C8D-AAA5-96404D8E39F8}" type="presOf" srcId="{3EF723F9-C2E9-414E-B3F4-5BC6C0ABB151}" destId="{A11FD2B6-1BFA-480E-B59A-A0868666D1C9}" srcOrd="0" destOrd="0" presId="urn:microsoft.com/office/officeart/2005/8/layout/orgChart1"/>
    <dgm:cxn modelId="{77B5CE9E-4A8C-4603-9FA2-254CEF2E25B0}" srcId="{38DE186B-3963-42CA-A2A7-DC2D0FCF1866}" destId="{2A2CBCE8-B938-4086-B08F-E0A40608D96B}" srcOrd="2" destOrd="0" parTransId="{2249C238-BF14-48FB-9DCD-9A0AB91080EB}" sibTransId="{72F431C7-4EEE-4DAE-B715-13DB6769578C}"/>
    <dgm:cxn modelId="{F2D7DE8A-6875-4535-AB9F-9DF270E6A2F2}" type="presOf" srcId="{554A7A35-FD23-4657-9367-6EBEB9EA52D6}" destId="{431B6021-DB12-4D3E-A499-137CD96E3AA9}" srcOrd="0" destOrd="0" presId="urn:microsoft.com/office/officeart/2005/8/layout/orgChart1"/>
    <dgm:cxn modelId="{CC86161A-2ABD-4A4F-BD52-50ADAA8E1A71}" type="presOf" srcId="{38DE186B-3963-42CA-A2A7-DC2D0FCF1866}" destId="{B38ED77B-B214-4C49-B2F4-17AEB5D77811}" srcOrd="1" destOrd="0" presId="urn:microsoft.com/office/officeart/2005/8/layout/orgChart1"/>
    <dgm:cxn modelId="{70A58CD7-A39F-4680-8E79-1080C3C36CED}" type="presOf" srcId="{AF4ACA02-2DAF-4425-837A-B9AB7035787D}" destId="{D58DBBBE-5562-4AB6-AFCB-63EACD740308}" srcOrd="1" destOrd="0" presId="urn:microsoft.com/office/officeart/2005/8/layout/orgChart1"/>
    <dgm:cxn modelId="{409F0F1C-8830-4984-8494-8C23ED889229}" type="presOf" srcId="{86910C75-CD51-4869-87BA-E30F8D1A9835}" destId="{E494EDFF-29AC-4D0E-938C-278ECD550A70}" srcOrd="1" destOrd="0" presId="urn:microsoft.com/office/officeart/2005/8/layout/orgChart1"/>
    <dgm:cxn modelId="{887D1596-3504-43C8-AAC2-C441397C4926}" srcId="{1EEB3A59-6469-4EAF-8C57-399804BA8B0F}" destId="{94DF58E3-D95D-4CA5-AF50-F20C9999D3D7}" srcOrd="1" destOrd="0" parTransId="{6DE70D7E-ED46-4C2D-B96C-DCA5DF93EFD8}" sibTransId="{4DD07729-6F47-4DA0-8604-DA4D1250BFA2}"/>
    <dgm:cxn modelId="{1F5D0373-73DB-4C62-B536-2D2F03E626E1}" type="presOf" srcId="{CDD83E09-D6A7-40E4-90B4-3FD6ADD2890B}" destId="{942CC2C0-9CDC-487C-9BE2-14D15998052C}" srcOrd="0" destOrd="0" presId="urn:microsoft.com/office/officeart/2005/8/layout/orgChart1"/>
    <dgm:cxn modelId="{8C76D292-E242-42B9-B922-1C316B730FE1}" type="presOf" srcId="{A8E3A6D1-95F4-4051-A149-4D88604BBE04}" destId="{32AE8488-6FF9-4E32-AB55-CEB5CB22BCD3}" srcOrd="0" destOrd="0" presId="urn:microsoft.com/office/officeart/2005/8/layout/orgChart1"/>
    <dgm:cxn modelId="{1AA991A2-8CB3-45FC-8DB5-6D6A578BA87F}" type="presOf" srcId="{973A6480-2409-4B30-BCD6-09ABA247292E}" destId="{B90225E9-1936-46FC-BB11-E2B18B815EA5}" srcOrd="0" destOrd="0" presId="urn:microsoft.com/office/officeart/2005/8/layout/orgChart1"/>
    <dgm:cxn modelId="{0F4705FF-6BC2-425C-97BB-9ED289A42B29}" srcId="{745E7E3A-EFA5-4A8E-A3AB-97E3CB741EBA}" destId="{F481AC6E-B6F5-4C3E-9245-4E6EB1CB4C44}" srcOrd="3" destOrd="0" parTransId="{35A203AD-344B-4AC3-B7D8-A916BF21B7B2}" sibTransId="{5C990C1A-43FD-4209-9B57-59384DFDFF1F}"/>
    <dgm:cxn modelId="{41841810-693F-4919-9C02-C7F49A9B9831}" type="presOf" srcId="{5E76A88F-E3DF-4AB3-93E1-5EF3AD815294}" destId="{9A36FC55-1A98-4C19-A47E-1CDA0D244A2D}" srcOrd="1" destOrd="0" presId="urn:microsoft.com/office/officeart/2005/8/layout/orgChart1"/>
    <dgm:cxn modelId="{0738C5DB-1AAE-4F92-A590-0E3D7EFEDA24}" type="presOf" srcId="{CBF6D01F-D578-4939-9945-E9AA65D241DA}" destId="{E75CC627-CD64-415D-800E-29CAEED9FC31}" srcOrd="0" destOrd="0" presId="urn:microsoft.com/office/officeart/2005/8/layout/orgChart1"/>
    <dgm:cxn modelId="{1836E1CE-DD0C-4026-A154-B3B3AE296F60}" type="presOf" srcId="{75B9E42A-1C38-467D-A977-8E9BC302A87A}" destId="{E8AAF75C-8C1D-4D89-B263-0C4A424A55FF}" srcOrd="0" destOrd="0" presId="urn:microsoft.com/office/officeart/2005/8/layout/orgChart1"/>
    <dgm:cxn modelId="{0DAFEEBA-B8C0-4357-8CB0-BAB606FB4820}" srcId="{38DE186B-3963-42CA-A2A7-DC2D0FCF1866}" destId="{CDD83E09-D6A7-40E4-90B4-3FD6ADD2890B}" srcOrd="1" destOrd="0" parTransId="{D1D41F48-9206-4697-BA47-137AD0B33EF3}" sibTransId="{1F3EF7D0-35B0-4C4D-B8EC-E21A3DF4FB5A}"/>
    <dgm:cxn modelId="{944DBC7E-2ECC-4F10-A9E2-DB62D704629B}" type="presOf" srcId="{E1F97CB4-53E5-449F-B243-E3E30387B1D5}" destId="{6BCF63DB-0769-41AD-AEE1-C5FC04006C3E}" srcOrd="0" destOrd="0" presId="urn:microsoft.com/office/officeart/2005/8/layout/orgChart1"/>
    <dgm:cxn modelId="{6E728BA1-36CC-4B19-9AC7-AC23A6B857CD}" type="presOf" srcId="{2A2CBCE8-B938-4086-B08F-E0A40608D96B}" destId="{7B918DDA-72D2-4FF9-8B22-748A5B5937D6}" srcOrd="0" destOrd="0" presId="urn:microsoft.com/office/officeart/2005/8/layout/orgChart1"/>
    <dgm:cxn modelId="{BA882079-8736-465E-AD5D-49F1C6F4C8B8}" type="presOf" srcId="{2249C238-BF14-48FB-9DCD-9A0AB91080EB}" destId="{BB2D4996-3C6B-4C76-9A76-F85D676E3CE2}" srcOrd="0" destOrd="0" presId="urn:microsoft.com/office/officeart/2005/8/layout/orgChart1"/>
    <dgm:cxn modelId="{360BD191-FC8D-4545-95E1-415C917F4C9A}" type="presOf" srcId="{554A7A35-FD23-4657-9367-6EBEB9EA52D6}" destId="{14EF5BDB-95A6-46D9-8C6B-56CA4F7823A4}" srcOrd="1" destOrd="0" presId="urn:microsoft.com/office/officeart/2005/8/layout/orgChart1"/>
    <dgm:cxn modelId="{983CD6EA-3030-43F9-827D-237CF705BD12}" type="presOf" srcId="{1EEB3A59-6469-4EAF-8C57-399804BA8B0F}" destId="{E6AB8D89-7128-42BC-A655-2D325E3A57A1}" srcOrd="1" destOrd="0" presId="urn:microsoft.com/office/officeart/2005/8/layout/orgChart1"/>
    <dgm:cxn modelId="{469EAA52-DC0F-4E82-874A-906FE66AE4C7}" type="presOf" srcId="{B413ABE3-BECF-4527-ACEE-445E6BEB6314}" destId="{F6361753-F8E5-4611-8ABE-0833FD44944A}" srcOrd="1" destOrd="0" presId="urn:microsoft.com/office/officeart/2005/8/layout/orgChart1"/>
    <dgm:cxn modelId="{AD937E0D-4361-4402-B551-867F795EDA12}" srcId="{1EEB3A59-6469-4EAF-8C57-399804BA8B0F}" destId="{B027DB08-8DEE-43F9-B5D9-890793C07813}" srcOrd="0" destOrd="0" parTransId="{9F870D89-4FCF-4094-BFA0-89AFD46238C5}" sibTransId="{F4A4D50A-6CE8-41E1-8986-E655F3171F22}"/>
    <dgm:cxn modelId="{375E360D-014A-4555-A255-2DC14935833A}" srcId="{38DE186B-3963-42CA-A2A7-DC2D0FCF1866}" destId="{554A7A35-FD23-4657-9367-6EBEB9EA52D6}" srcOrd="3" destOrd="0" parTransId="{CBF6D01F-D578-4939-9945-E9AA65D241DA}" sibTransId="{668A90A6-96F0-4D1C-AEB2-192C2D18573D}"/>
    <dgm:cxn modelId="{E5F2FFBE-B3B5-4B1B-9A52-5048AF15DA70}" srcId="{38DE186B-3963-42CA-A2A7-DC2D0FCF1866}" destId="{6CF8DBEE-63AB-4897-BD35-DAB889C8DA22}" srcOrd="4" destOrd="0" parTransId="{973A6480-2409-4B30-BCD6-09ABA247292E}" sibTransId="{2177BBBF-1DAB-4D7E-98ED-0A0530FB8062}"/>
    <dgm:cxn modelId="{92ABBA5F-6CA2-4BBF-BBB9-B14EE9E2D487}" srcId="{38DE186B-3963-42CA-A2A7-DC2D0FCF1866}" destId="{F7210F55-C118-41A6-97DA-922986A87B49}" srcOrd="0" destOrd="0" parTransId="{73B5DACF-40AB-4639-B8F7-6B7EBABB503B}" sibTransId="{C4F3BB3A-4412-47B1-AA8C-A085C4577E79}"/>
    <dgm:cxn modelId="{80E545F8-104D-4ED0-912C-77863CA2FCA6}" type="presOf" srcId="{F481AC6E-B6F5-4C3E-9245-4E6EB1CB4C44}" destId="{235FF3BB-9B4A-48D8-BAD7-B2B4E6A9854D}" srcOrd="1" destOrd="0" presId="urn:microsoft.com/office/officeart/2005/8/layout/orgChart1"/>
    <dgm:cxn modelId="{771AFC39-820F-4948-B53E-BB26F6C836CE}" type="presOf" srcId="{86910C75-CD51-4869-87BA-E30F8D1A9835}" destId="{1F9CA69E-6F5E-4B6F-A04B-6A60CA831094}" srcOrd="0" destOrd="0" presId="urn:microsoft.com/office/officeart/2005/8/layout/orgChart1"/>
    <dgm:cxn modelId="{AE2D7278-7F3D-42FD-A193-73FF30F5E437}" type="presOf" srcId="{B027DB08-8DEE-43F9-B5D9-890793C07813}" destId="{543813EE-DF3A-4306-A872-E01CD33B2266}" srcOrd="1" destOrd="0" presId="urn:microsoft.com/office/officeart/2005/8/layout/orgChart1"/>
    <dgm:cxn modelId="{8826EE60-BE3E-4183-84DC-FEC733C56123}" type="presOf" srcId="{94DF58E3-D95D-4CA5-AF50-F20C9999D3D7}" destId="{C6AB76FA-837C-4359-820C-88ECB1E38CB2}" srcOrd="1" destOrd="0" presId="urn:microsoft.com/office/officeart/2005/8/layout/orgChart1"/>
    <dgm:cxn modelId="{01869661-A8E2-48FB-B134-DE4E33954696}" type="presOf" srcId="{745E7E3A-EFA5-4A8E-A3AB-97E3CB741EBA}" destId="{C69C680B-DD76-4084-8A1E-D7A4354CA2F6}" srcOrd="0" destOrd="0" presId="urn:microsoft.com/office/officeart/2005/8/layout/orgChart1"/>
    <dgm:cxn modelId="{9CDF0BAC-60E7-4326-8777-702EF704D37E}" srcId="{75B9E42A-1C38-467D-A977-8E9BC302A87A}" destId="{86910C75-CD51-4869-87BA-E30F8D1A9835}" srcOrd="2" destOrd="0" parTransId="{D3C042AE-46E9-427E-B6F0-A195C5B2D5D2}" sibTransId="{B3C4F950-6A78-44E0-A292-239DB610064A}"/>
    <dgm:cxn modelId="{1814E372-573F-43C1-8C18-DFA811C914B9}" type="presOf" srcId="{5AB3AFF0-6E79-4983-B7A3-C4CD06E81FF5}" destId="{4C147995-B9A8-4DA7-BCE3-DF122592CEFA}" srcOrd="0" destOrd="0" presId="urn:microsoft.com/office/officeart/2005/8/layout/orgChart1"/>
    <dgm:cxn modelId="{D44DD54C-04E4-4106-B2DE-D247E02357D2}" type="presOf" srcId="{F481AC6E-B6F5-4C3E-9245-4E6EB1CB4C44}" destId="{166B8220-588E-4C20-A58B-846DFA93F157}" srcOrd="0" destOrd="0" presId="urn:microsoft.com/office/officeart/2005/8/layout/orgChart1"/>
    <dgm:cxn modelId="{9A488642-82DC-4D37-A89B-E29D7614F0EE}" type="presOf" srcId="{73B5DACF-40AB-4639-B8F7-6B7EBABB503B}" destId="{49DC18A9-BCCA-4FF2-A0AF-98F37A097ADF}" srcOrd="0" destOrd="0" presId="urn:microsoft.com/office/officeart/2005/8/layout/orgChart1"/>
    <dgm:cxn modelId="{D7E64555-954F-47D8-8696-1F54BC73688C}" type="presOf" srcId="{745E7E3A-EFA5-4A8E-A3AB-97E3CB741EBA}" destId="{D339F8AF-82CC-47D7-8EA8-82FB4E8B133C}" srcOrd="1" destOrd="0" presId="urn:microsoft.com/office/officeart/2005/8/layout/orgChart1"/>
    <dgm:cxn modelId="{996C5F5A-F784-4FCF-9954-69D9D3DAC477}" type="presOf" srcId="{8D5BF43D-CFEE-46A4-8B77-4B3496D9850E}" destId="{F5E01276-5F63-4147-BEA0-733F7C45176F}" srcOrd="1" destOrd="0" presId="urn:microsoft.com/office/officeart/2005/8/layout/orgChart1"/>
    <dgm:cxn modelId="{B2022C56-1F3F-4F40-B438-CF6E5F4A5532}" type="presOf" srcId="{35A203AD-344B-4AC3-B7D8-A916BF21B7B2}" destId="{9CF6B302-3E52-4810-8FC8-D44C2ACC8281}" srcOrd="0" destOrd="0" presId="urn:microsoft.com/office/officeart/2005/8/layout/orgChart1"/>
    <dgm:cxn modelId="{C3CD58E9-2BD2-46B1-B3BF-2F4EF1B00704}" srcId="{B3C1C91C-82C7-434E-BE6D-1F011C6C82EB}" destId="{745E7E3A-EFA5-4A8E-A3AB-97E3CB741EBA}" srcOrd="0" destOrd="0" parTransId="{ABCD7B36-86F8-48CD-A0DC-E72CE36556EF}" sibTransId="{4E5CF852-D32F-44EB-A295-64C198CD652A}"/>
    <dgm:cxn modelId="{BE0B2451-A71A-4366-B267-64E5DF731131}" srcId="{F481AC6E-B6F5-4C3E-9245-4E6EB1CB4C44}" destId="{5E76A88F-E3DF-4AB3-93E1-5EF3AD815294}" srcOrd="0" destOrd="0" parTransId="{5AB3AFF0-6E79-4983-B7A3-C4CD06E81FF5}" sibTransId="{E236C806-673F-46EC-982F-CCF2C924A461}"/>
    <dgm:cxn modelId="{B44A0BC8-2807-4DED-B628-A9CB39AED6E5}" type="presOf" srcId="{6DE70D7E-ED46-4C2D-B96C-DCA5DF93EFD8}" destId="{1388117D-CF00-488D-BC65-3CA7FE49D3A8}" srcOrd="0" destOrd="0" presId="urn:microsoft.com/office/officeart/2005/8/layout/orgChart1"/>
    <dgm:cxn modelId="{81C59F5A-F95A-4899-8699-682C3498C121}" type="presOf" srcId="{2A2CBCE8-B938-4086-B08F-E0A40608D96B}" destId="{44822065-D220-4E8D-A768-3992C796F39C}" srcOrd="1" destOrd="0" presId="urn:microsoft.com/office/officeart/2005/8/layout/orgChart1"/>
    <dgm:cxn modelId="{0B4DF443-31E6-4AE2-A538-DDB9A2A97C47}" type="presOf" srcId="{6CF8DBEE-63AB-4897-BD35-DAB889C8DA22}" destId="{ED72266B-F13F-4ABB-B7D2-3B2E5DC88AEF}" srcOrd="0" destOrd="0" presId="urn:microsoft.com/office/officeart/2005/8/layout/orgChart1"/>
    <dgm:cxn modelId="{41BBAD18-DEB1-4F46-B454-66D3C32ABBFD}" type="presOf" srcId="{38DE186B-3963-42CA-A2A7-DC2D0FCF1866}" destId="{BD3F3B5C-8E1A-459A-B38B-A5B8E00E1DE9}" srcOrd="0" destOrd="0" presId="urn:microsoft.com/office/officeart/2005/8/layout/orgChart1"/>
    <dgm:cxn modelId="{E3677A43-2A8B-4B00-9BD4-C4B060B37AD5}" type="presOf" srcId="{F7210F55-C118-41A6-97DA-922986A87B49}" destId="{6DC9106F-934C-46C6-A99E-CB1B3BFE4338}" srcOrd="1" destOrd="0" presId="urn:microsoft.com/office/officeart/2005/8/layout/orgChart1"/>
    <dgm:cxn modelId="{30DFEC27-7805-4B23-A51B-24C8B9EC2AB4}" type="presOf" srcId="{F7210F55-C118-41A6-97DA-922986A87B49}" destId="{E0466857-1218-41AC-AD3D-A1E48C5812FE}" srcOrd="0" destOrd="0" presId="urn:microsoft.com/office/officeart/2005/8/layout/orgChart1"/>
    <dgm:cxn modelId="{BED0EBAA-247B-41A7-925E-DC796AA48252}" type="presOf" srcId="{4A462917-AB66-49AF-B750-9144FC0E97B8}" destId="{2D675F24-C0B4-46C2-96A5-DCD1D328C33C}" srcOrd="0" destOrd="0" presId="urn:microsoft.com/office/officeart/2005/8/layout/orgChart1"/>
    <dgm:cxn modelId="{6A7ADFAA-B6FF-4965-8FAF-F41157B5A19D}" type="presOf" srcId="{D1D41F48-9206-4697-BA47-137AD0B33EF3}" destId="{CD125953-B136-4EC0-92C9-B8755C9CA6CC}" srcOrd="0" destOrd="0" presId="urn:microsoft.com/office/officeart/2005/8/layout/orgChart1"/>
    <dgm:cxn modelId="{AA9E5BE8-ACB3-48C2-A616-E07C5660C67F}" type="presOf" srcId="{B413ABE3-BECF-4527-ACEE-445E6BEB6314}" destId="{8C978C47-5D50-4607-85BF-666B2ABB88CF}" srcOrd="0" destOrd="0" presId="urn:microsoft.com/office/officeart/2005/8/layout/orgChart1"/>
    <dgm:cxn modelId="{C1C6A11F-354F-47D3-8497-C50920C70710}" type="presOf" srcId="{9F870D89-4FCF-4094-BFA0-89AFD46238C5}" destId="{0586985D-D84E-4907-9929-91CA24AE513F}" srcOrd="0" destOrd="0" presId="urn:microsoft.com/office/officeart/2005/8/layout/orgChart1"/>
    <dgm:cxn modelId="{8D1E5902-0286-4389-9E89-3F424F151B26}" type="presOf" srcId="{75B9E42A-1C38-467D-A977-8E9BC302A87A}" destId="{F7F8F95B-A32F-4225-A842-6C93FDA6B7CA}" srcOrd="1" destOrd="0" presId="urn:microsoft.com/office/officeart/2005/8/layout/orgChart1"/>
    <dgm:cxn modelId="{43BE78BE-BD0C-4BA0-BAA9-3578A7B81AF9}" srcId="{745E7E3A-EFA5-4A8E-A3AB-97E3CB741EBA}" destId="{1EEB3A59-6469-4EAF-8C57-399804BA8B0F}" srcOrd="0" destOrd="0" parTransId="{4A462917-AB66-49AF-B750-9144FC0E97B8}" sibTransId="{3E5F58DB-5E27-4DF2-A41C-1C0EAD65C57B}"/>
    <dgm:cxn modelId="{1D4C718D-F095-43EF-92D2-2DC2442283BE}" type="presOf" srcId="{B027DB08-8DEE-43F9-B5D9-890793C07813}" destId="{742B5836-5D43-4393-BEF8-1975104170E4}" srcOrd="0" destOrd="0" presId="urn:microsoft.com/office/officeart/2005/8/layout/orgChart1"/>
    <dgm:cxn modelId="{F627FDB7-DDD4-4E21-9CDF-D87216C488A8}" type="presOf" srcId="{94DF58E3-D95D-4CA5-AF50-F20C9999D3D7}" destId="{3EAE8730-54E9-4F11-9123-BB5DAEDD6883}" srcOrd="0" destOrd="0" presId="urn:microsoft.com/office/officeart/2005/8/layout/orgChart1"/>
    <dgm:cxn modelId="{310E7554-D33B-48E2-A7E4-C453126E437B}" type="presOf" srcId="{AF4ACA02-2DAF-4425-837A-B9AB7035787D}" destId="{EABDFF00-2D75-4D0F-ACB4-14B9045A68AE}" srcOrd="0" destOrd="0" presId="urn:microsoft.com/office/officeart/2005/8/layout/orgChart1"/>
    <dgm:cxn modelId="{C0D8131F-A0F8-4FA8-AC25-5F40D399CC61}" type="presParOf" srcId="{183808B7-2CE4-470E-9B1F-3FBEE8D86298}" destId="{B349C985-4F52-46FC-BFB1-B4DBC9B79BEA}" srcOrd="0" destOrd="0" presId="urn:microsoft.com/office/officeart/2005/8/layout/orgChart1"/>
    <dgm:cxn modelId="{014D2C78-1AE3-450A-B467-088E6127EF27}" type="presParOf" srcId="{B349C985-4F52-46FC-BFB1-B4DBC9B79BEA}" destId="{EAF4B23C-3ECF-48AE-900E-7593F25BDAC7}" srcOrd="0" destOrd="0" presId="urn:microsoft.com/office/officeart/2005/8/layout/orgChart1"/>
    <dgm:cxn modelId="{B0CB0A20-C3D4-4609-A93E-3BC119D62CF9}" type="presParOf" srcId="{EAF4B23C-3ECF-48AE-900E-7593F25BDAC7}" destId="{C69C680B-DD76-4084-8A1E-D7A4354CA2F6}" srcOrd="0" destOrd="0" presId="urn:microsoft.com/office/officeart/2005/8/layout/orgChart1"/>
    <dgm:cxn modelId="{0071E9C5-A0F5-451B-9F68-C8A5918EE478}" type="presParOf" srcId="{EAF4B23C-3ECF-48AE-900E-7593F25BDAC7}" destId="{D339F8AF-82CC-47D7-8EA8-82FB4E8B133C}" srcOrd="1" destOrd="0" presId="urn:microsoft.com/office/officeart/2005/8/layout/orgChart1"/>
    <dgm:cxn modelId="{A01283DB-C147-434E-B95E-0293A2C03415}" type="presParOf" srcId="{B349C985-4F52-46FC-BFB1-B4DBC9B79BEA}" destId="{E07480BA-6343-4442-9A79-25A15697E9DF}" srcOrd="1" destOrd="0" presId="urn:microsoft.com/office/officeart/2005/8/layout/orgChart1"/>
    <dgm:cxn modelId="{0C1FED4C-357B-4993-9C4A-FFC9E5811473}" type="presParOf" srcId="{E07480BA-6343-4442-9A79-25A15697E9DF}" destId="{2D675F24-C0B4-46C2-96A5-DCD1D328C33C}" srcOrd="0" destOrd="0" presId="urn:microsoft.com/office/officeart/2005/8/layout/orgChart1"/>
    <dgm:cxn modelId="{C47FE221-6260-4981-8E2E-1CBBE36A3383}" type="presParOf" srcId="{E07480BA-6343-4442-9A79-25A15697E9DF}" destId="{14B31194-FF10-4030-A869-B3AA4A25B89B}" srcOrd="1" destOrd="0" presId="urn:microsoft.com/office/officeart/2005/8/layout/orgChart1"/>
    <dgm:cxn modelId="{A3BA0659-72ED-4AEC-99E3-39F7AE787F0C}" type="presParOf" srcId="{14B31194-FF10-4030-A869-B3AA4A25B89B}" destId="{5A265F86-4985-4D61-BEB9-6A1BBB207781}" srcOrd="0" destOrd="0" presId="urn:microsoft.com/office/officeart/2005/8/layout/orgChart1"/>
    <dgm:cxn modelId="{C9EC737A-2A24-4FE1-AE08-68C8A49B2352}" type="presParOf" srcId="{5A265F86-4985-4D61-BEB9-6A1BBB207781}" destId="{AD30C6E5-82C9-41E2-977B-4D33D2DC6D6C}" srcOrd="0" destOrd="0" presId="urn:microsoft.com/office/officeart/2005/8/layout/orgChart1"/>
    <dgm:cxn modelId="{2480B1D2-17D5-4A13-AC86-25CE005EC2E7}" type="presParOf" srcId="{5A265F86-4985-4D61-BEB9-6A1BBB207781}" destId="{E6AB8D89-7128-42BC-A655-2D325E3A57A1}" srcOrd="1" destOrd="0" presId="urn:microsoft.com/office/officeart/2005/8/layout/orgChart1"/>
    <dgm:cxn modelId="{AF356AFC-3DB9-4917-9106-C66233CDE21F}" type="presParOf" srcId="{14B31194-FF10-4030-A869-B3AA4A25B89B}" destId="{4AAB8585-D1D7-4FCB-8668-AF0818F36028}" srcOrd="1" destOrd="0" presId="urn:microsoft.com/office/officeart/2005/8/layout/orgChart1"/>
    <dgm:cxn modelId="{546705A6-F47D-4AD9-A284-42CC4CC8098A}" type="presParOf" srcId="{4AAB8585-D1D7-4FCB-8668-AF0818F36028}" destId="{0586985D-D84E-4907-9929-91CA24AE513F}" srcOrd="0" destOrd="0" presId="urn:microsoft.com/office/officeart/2005/8/layout/orgChart1"/>
    <dgm:cxn modelId="{931F014D-17C9-470C-851B-FFA32161A793}" type="presParOf" srcId="{4AAB8585-D1D7-4FCB-8668-AF0818F36028}" destId="{876446AC-88F3-42F8-9653-B7DDD2B17B9C}" srcOrd="1" destOrd="0" presId="urn:microsoft.com/office/officeart/2005/8/layout/orgChart1"/>
    <dgm:cxn modelId="{8B998619-F197-4394-9EA6-C6D6A32B4FF9}" type="presParOf" srcId="{876446AC-88F3-42F8-9653-B7DDD2B17B9C}" destId="{09C6583E-C3E4-495C-A5AE-65297ED6C576}" srcOrd="0" destOrd="0" presId="urn:microsoft.com/office/officeart/2005/8/layout/orgChart1"/>
    <dgm:cxn modelId="{7BCE6F04-017E-45E0-B483-11ADABE6C7F6}" type="presParOf" srcId="{09C6583E-C3E4-495C-A5AE-65297ED6C576}" destId="{742B5836-5D43-4393-BEF8-1975104170E4}" srcOrd="0" destOrd="0" presId="urn:microsoft.com/office/officeart/2005/8/layout/orgChart1"/>
    <dgm:cxn modelId="{624610ED-463D-43C6-B038-97E50B99E913}" type="presParOf" srcId="{09C6583E-C3E4-495C-A5AE-65297ED6C576}" destId="{543813EE-DF3A-4306-A872-E01CD33B2266}" srcOrd="1" destOrd="0" presId="urn:microsoft.com/office/officeart/2005/8/layout/orgChart1"/>
    <dgm:cxn modelId="{F39F0667-0FF6-499A-A71B-3EB38EC69EDC}" type="presParOf" srcId="{876446AC-88F3-42F8-9653-B7DDD2B17B9C}" destId="{4A843449-8991-43A7-99C8-E7880C7B65F2}" srcOrd="1" destOrd="0" presId="urn:microsoft.com/office/officeart/2005/8/layout/orgChart1"/>
    <dgm:cxn modelId="{3436160A-7197-44D6-A009-0387372F1200}" type="presParOf" srcId="{876446AC-88F3-42F8-9653-B7DDD2B17B9C}" destId="{E9D3D5FC-F509-4865-A503-DC1B5BDEF00E}" srcOrd="2" destOrd="0" presId="urn:microsoft.com/office/officeart/2005/8/layout/orgChart1"/>
    <dgm:cxn modelId="{5367F577-201F-4A18-BB6A-82AFCBD9464D}" type="presParOf" srcId="{4AAB8585-D1D7-4FCB-8668-AF0818F36028}" destId="{1388117D-CF00-488D-BC65-3CA7FE49D3A8}" srcOrd="2" destOrd="0" presId="urn:microsoft.com/office/officeart/2005/8/layout/orgChart1"/>
    <dgm:cxn modelId="{8208B922-FE9D-4762-91E4-DE24DF8568B9}" type="presParOf" srcId="{4AAB8585-D1D7-4FCB-8668-AF0818F36028}" destId="{3C6E5574-B84C-4AB1-9848-374A4DA4F469}" srcOrd="3" destOrd="0" presId="urn:microsoft.com/office/officeart/2005/8/layout/orgChart1"/>
    <dgm:cxn modelId="{87D3BD52-5949-4FE0-9744-B7A57F46A307}" type="presParOf" srcId="{3C6E5574-B84C-4AB1-9848-374A4DA4F469}" destId="{B4EC4150-4B18-4886-88D8-E1EA874EDCB5}" srcOrd="0" destOrd="0" presId="urn:microsoft.com/office/officeart/2005/8/layout/orgChart1"/>
    <dgm:cxn modelId="{A39B8379-DC0E-4B32-86DD-3E7188BBB434}" type="presParOf" srcId="{B4EC4150-4B18-4886-88D8-E1EA874EDCB5}" destId="{3EAE8730-54E9-4F11-9123-BB5DAEDD6883}" srcOrd="0" destOrd="0" presId="urn:microsoft.com/office/officeart/2005/8/layout/orgChart1"/>
    <dgm:cxn modelId="{1610248D-82D6-47EB-9203-A86800E5D284}" type="presParOf" srcId="{B4EC4150-4B18-4886-88D8-E1EA874EDCB5}" destId="{C6AB76FA-837C-4359-820C-88ECB1E38CB2}" srcOrd="1" destOrd="0" presId="urn:microsoft.com/office/officeart/2005/8/layout/orgChart1"/>
    <dgm:cxn modelId="{5186A65D-2765-4DF8-ADAE-9861A2CB057C}" type="presParOf" srcId="{3C6E5574-B84C-4AB1-9848-374A4DA4F469}" destId="{9CCB53D3-F058-4EC8-A6ED-9846A5C993C9}" srcOrd="1" destOrd="0" presId="urn:microsoft.com/office/officeart/2005/8/layout/orgChart1"/>
    <dgm:cxn modelId="{658408F6-6F99-4211-A02B-59B7C5004D12}" type="presParOf" srcId="{3C6E5574-B84C-4AB1-9848-374A4DA4F469}" destId="{6DA4ECBE-3B50-420B-9FF1-2A0CA5E1130C}" srcOrd="2" destOrd="0" presId="urn:microsoft.com/office/officeart/2005/8/layout/orgChart1"/>
    <dgm:cxn modelId="{B2600B03-2F86-47A6-A746-1B9515B8CB65}" type="presParOf" srcId="{14B31194-FF10-4030-A869-B3AA4A25B89B}" destId="{910D2F73-7010-495F-9554-87C7D82040E8}" srcOrd="2" destOrd="0" presId="urn:microsoft.com/office/officeart/2005/8/layout/orgChart1"/>
    <dgm:cxn modelId="{F7E9643B-6D8D-43E5-8FB7-FFFE48D6EF0B}" type="presParOf" srcId="{E07480BA-6343-4442-9A79-25A15697E9DF}" destId="{6CF04BAF-6CB5-4EBE-8526-4B26C53DBE4B}" srcOrd="2" destOrd="0" presId="urn:microsoft.com/office/officeart/2005/8/layout/orgChart1"/>
    <dgm:cxn modelId="{76EDC220-919F-4F1C-A731-E689BD1E9C38}" type="presParOf" srcId="{E07480BA-6343-4442-9A79-25A15697E9DF}" destId="{B333630A-F2F8-420D-88BC-5A1DDE96C67C}" srcOrd="3" destOrd="0" presId="urn:microsoft.com/office/officeart/2005/8/layout/orgChart1"/>
    <dgm:cxn modelId="{6883CA76-554F-4E51-8347-B3B4E14D4759}" type="presParOf" srcId="{B333630A-F2F8-420D-88BC-5A1DDE96C67C}" destId="{923E4DD6-8DC5-4F84-B363-53AF2F352AE3}" srcOrd="0" destOrd="0" presId="urn:microsoft.com/office/officeart/2005/8/layout/orgChart1"/>
    <dgm:cxn modelId="{48D1A608-CC40-469F-A41F-0BBAA01EF54F}" type="presParOf" srcId="{923E4DD6-8DC5-4F84-B363-53AF2F352AE3}" destId="{E8AAF75C-8C1D-4D89-B263-0C4A424A55FF}" srcOrd="0" destOrd="0" presId="urn:microsoft.com/office/officeart/2005/8/layout/orgChart1"/>
    <dgm:cxn modelId="{C1A1CB2D-013C-4D6F-8EF5-BE913FF0A449}" type="presParOf" srcId="{923E4DD6-8DC5-4F84-B363-53AF2F352AE3}" destId="{F7F8F95B-A32F-4225-A842-6C93FDA6B7CA}" srcOrd="1" destOrd="0" presId="urn:microsoft.com/office/officeart/2005/8/layout/orgChart1"/>
    <dgm:cxn modelId="{6AFF5F9A-255E-4E07-B54F-1D3D0C58E104}" type="presParOf" srcId="{B333630A-F2F8-420D-88BC-5A1DDE96C67C}" destId="{4BD1058F-33AE-4897-B6A8-C6D960CB4565}" srcOrd="1" destOrd="0" presId="urn:microsoft.com/office/officeart/2005/8/layout/orgChart1"/>
    <dgm:cxn modelId="{3C2E3150-7CC0-4094-ABF9-421E319548AD}" type="presParOf" srcId="{4BD1058F-33AE-4897-B6A8-C6D960CB4565}" destId="{A11FD2B6-1BFA-480E-B59A-A0868666D1C9}" srcOrd="0" destOrd="0" presId="urn:microsoft.com/office/officeart/2005/8/layout/orgChart1"/>
    <dgm:cxn modelId="{5E2F078B-3392-47C7-B99A-03D08469A889}" type="presParOf" srcId="{4BD1058F-33AE-4897-B6A8-C6D960CB4565}" destId="{487C4198-A668-44EF-AC3B-D81A471019AC}" srcOrd="1" destOrd="0" presId="urn:microsoft.com/office/officeart/2005/8/layout/orgChart1"/>
    <dgm:cxn modelId="{AD6311A1-49B7-44CB-AAEE-B3B1FB6B5905}" type="presParOf" srcId="{487C4198-A668-44EF-AC3B-D81A471019AC}" destId="{AC1F1184-78BC-4228-A9C2-6A68AE1CABBD}" srcOrd="0" destOrd="0" presId="urn:microsoft.com/office/officeart/2005/8/layout/orgChart1"/>
    <dgm:cxn modelId="{F8755D0E-C32B-4961-98BB-E964B04974C7}" type="presParOf" srcId="{AC1F1184-78BC-4228-A9C2-6A68AE1CABBD}" destId="{D25A85FA-C7B4-496C-AE57-1552FF98C4DD}" srcOrd="0" destOrd="0" presId="urn:microsoft.com/office/officeart/2005/8/layout/orgChart1"/>
    <dgm:cxn modelId="{81A11F9D-4762-463F-8044-B9F0F8A62B60}" type="presParOf" srcId="{AC1F1184-78BC-4228-A9C2-6A68AE1CABBD}" destId="{F5E01276-5F63-4147-BEA0-733F7C45176F}" srcOrd="1" destOrd="0" presId="urn:microsoft.com/office/officeart/2005/8/layout/orgChart1"/>
    <dgm:cxn modelId="{92D86D34-AB88-4763-B352-BFC5669539F8}" type="presParOf" srcId="{487C4198-A668-44EF-AC3B-D81A471019AC}" destId="{B43ABF8A-C8D7-4345-AF14-365156807966}" srcOrd="1" destOrd="0" presId="urn:microsoft.com/office/officeart/2005/8/layout/orgChart1"/>
    <dgm:cxn modelId="{826B7055-F2D6-417C-B8AA-4E7B653B2054}" type="presParOf" srcId="{487C4198-A668-44EF-AC3B-D81A471019AC}" destId="{634D0C48-C6C6-4154-9D64-9D9DE102131C}" srcOrd="2" destOrd="0" presId="urn:microsoft.com/office/officeart/2005/8/layout/orgChart1"/>
    <dgm:cxn modelId="{0B1482B9-B4E5-4687-BDAF-1183E5C23389}" type="presParOf" srcId="{4BD1058F-33AE-4897-B6A8-C6D960CB4565}" destId="{8EFD86F0-8375-4376-BB7E-E0F135FE9A51}" srcOrd="2" destOrd="0" presId="urn:microsoft.com/office/officeart/2005/8/layout/orgChart1"/>
    <dgm:cxn modelId="{BB4F7024-E3CD-4893-8D46-9FCF68F0C619}" type="presParOf" srcId="{4BD1058F-33AE-4897-B6A8-C6D960CB4565}" destId="{5B7C462C-8398-4C88-9394-EEB841AD349A}" srcOrd="3" destOrd="0" presId="urn:microsoft.com/office/officeart/2005/8/layout/orgChart1"/>
    <dgm:cxn modelId="{ABADD02F-8E5C-4F5A-97D9-67D570EA9286}" type="presParOf" srcId="{5B7C462C-8398-4C88-9394-EEB841AD349A}" destId="{2A19D194-DAF9-417B-BF15-89A9CA140EBE}" srcOrd="0" destOrd="0" presId="urn:microsoft.com/office/officeart/2005/8/layout/orgChart1"/>
    <dgm:cxn modelId="{3802EB00-ED0F-462A-B581-AEEBD9C4AB38}" type="presParOf" srcId="{2A19D194-DAF9-417B-BF15-89A9CA140EBE}" destId="{8C978C47-5D50-4607-85BF-666B2ABB88CF}" srcOrd="0" destOrd="0" presId="urn:microsoft.com/office/officeart/2005/8/layout/orgChart1"/>
    <dgm:cxn modelId="{F715A95E-36F6-435F-91C0-261A86114D46}" type="presParOf" srcId="{2A19D194-DAF9-417B-BF15-89A9CA140EBE}" destId="{F6361753-F8E5-4611-8ABE-0833FD44944A}" srcOrd="1" destOrd="0" presId="urn:microsoft.com/office/officeart/2005/8/layout/orgChart1"/>
    <dgm:cxn modelId="{51AAEF2A-E9BF-4424-BFCD-80515A5E32AA}" type="presParOf" srcId="{5B7C462C-8398-4C88-9394-EEB841AD349A}" destId="{71A58531-6B5B-4690-8E3C-D2CE04970DDC}" srcOrd="1" destOrd="0" presId="urn:microsoft.com/office/officeart/2005/8/layout/orgChart1"/>
    <dgm:cxn modelId="{EC425779-AC79-4CA4-9779-87E942869ABE}" type="presParOf" srcId="{5B7C462C-8398-4C88-9394-EEB841AD349A}" destId="{7A7D3EED-DB6D-4C0C-94B5-7085EC17FDAF}" srcOrd="2" destOrd="0" presId="urn:microsoft.com/office/officeart/2005/8/layout/orgChart1"/>
    <dgm:cxn modelId="{0546CE7C-6787-494B-9131-9A71D10098C6}" type="presParOf" srcId="{4BD1058F-33AE-4897-B6A8-C6D960CB4565}" destId="{E876C30F-163C-465A-BF71-B60032769B73}" srcOrd="4" destOrd="0" presId="urn:microsoft.com/office/officeart/2005/8/layout/orgChart1"/>
    <dgm:cxn modelId="{8EA0C9DE-70E1-4E6D-8089-58557B9A3951}" type="presParOf" srcId="{4BD1058F-33AE-4897-B6A8-C6D960CB4565}" destId="{FD075A52-7E80-4B28-8A43-12A23F36281D}" srcOrd="5" destOrd="0" presId="urn:microsoft.com/office/officeart/2005/8/layout/orgChart1"/>
    <dgm:cxn modelId="{03E7DC1F-407B-420E-9AD6-F3DA44D150C4}" type="presParOf" srcId="{FD075A52-7E80-4B28-8A43-12A23F36281D}" destId="{C130FD27-9C16-452D-BDE1-136F92B2EBFC}" srcOrd="0" destOrd="0" presId="urn:microsoft.com/office/officeart/2005/8/layout/orgChart1"/>
    <dgm:cxn modelId="{79F00C38-49D8-43B9-ABB7-A22B6B73D78F}" type="presParOf" srcId="{C130FD27-9C16-452D-BDE1-136F92B2EBFC}" destId="{1F9CA69E-6F5E-4B6F-A04B-6A60CA831094}" srcOrd="0" destOrd="0" presId="urn:microsoft.com/office/officeart/2005/8/layout/orgChart1"/>
    <dgm:cxn modelId="{8029EE1C-2C2F-4847-8682-9B9C6BB7EB0E}" type="presParOf" srcId="{C130FD27-9C16-452D-BDE1-136F92B2EBFC}" destId="{E494EDFF-29AC-4D0E-938C-278ECD550A70}" srcOrd="1" destOrd="0" presId="urn:microsoft.com/office/officeart/2005/8/layout/orgChart1"/>
    <dgm:cxn modelId="{96DDA611-EEEC-4C18-8FCC-4F79B77E3B1B}" type="presParOf" srcId="{FD075A52-7E80-4B28-8A43-12A23F36281D}" destId="{36C30CC8-188C-4B9C-8730-B93F7313C7E6}" srcOrd="1" destOrd="0" presId="urn:microsoft.com/office/officeart/2005/8/layout/orgChart1"/>
    <dgm:cxn modelId="{25E6E617-9CCC-4646-8979-8BF3688A8E1B}" type="presParOf" srcId="{FD075A52-7E80-4B28-8A43-12A23F36281D}" destId="{9ED158A8-EF97-4A76-96F4-E710EA1D3658}" srcOrd="2" destOrd="0" presId="urn:microsoft.com/office/officeart/2005/8/layout/orgChart1"/>
    <dgm:cxn modelId="{D7B732CD-66FF-49DC-81F6-73067032B97E}" type="presParOf" srcId="{B333630A-F2F8-420D-88BC-5A1DDE96C67C}" destId="{8E074489-509A-4990-8F26-C4E117CE99E0}" srcOrd="2" destOrd="0" presId="urn:microsoft.com/office/officeart/2005/8/layout/orgChart1"/>
    <dgm:cxn modelId="{A39E229F-DCEB-41A2-9B83-D9EF71102CA2}" type="presParOf" srcId="{E07480BA-6343-4442-9A79-25A15697E9DF}" destId="{6BCF63DB-0769-41AD-AEE1-C5FC04006C3E}" srcOrd="4" destOrd="0" presId="urn:microsoft.com/office/officeart/2005/8/layout/orgChart1"/>
    <dgm:cxn modelId="{0B8DE747-CECA-4042-8036-8CC33F9C6D86}" type="presParOf" srcId="{E07480BA-6343-4442-9A79-25A15697E9DF}" destId="{FCFC8F09-263B-4EFD-A568-EBDDC1A9AFC7}" srcOrd="5" destOrd="0" presId="urn:microsoft.com/office/officeart/2005/8/layout/orgChart1"/>
    <dgm:cxn modelId="{EDAB1BA8-6CBA-4BF5-BFBA-18C9352EE556}" type="presParOf" srcId="{FCFC8F09-263B-4EFD-A568-EBDDC1A9AFC7}" destId="{28C00880-84CE-4021-88EA-562F04E65C36}" srcOrd="0" destOrd="0" presId="urn:microsoft.com/office/officeart/2005/8/layout/orgChart1"/>
    <dgm:cxn modelId="{8874964E-EFED-496B-90D4-5F825B72974E}" type="presParOf" srcId="{28C00880-84CE-4021-88EA-562F04E65C36}" destId="{BD3F3B5C-8E1A-459A-B38B-A5B8E00E1DE9}" srcOrd="0" destOrd="0" presId="urn:microsoft.com/office/officeart/2005/8/layout/orgChart1"/>
    <dgm:cxn modelId="{50443A18-3160-4935-A076-BDE004528ADB}" type="presParOf" srcId="{28C00880-84CE-4021-88EA-562F04E65C36}" destId="{B38ED77B-B214-4C49-B2F4-17AEB5D77811}" srcOrd="1" destOrd="0" presId="urn:microsoft.com/office/officeart/2005/8/layout/orgChart1"/>
    <dgm:cxn modelId="{77B41CCD-4D8D-40D9-B72F-D1874868E63E}" type="presParOf" srcId="{FCFC8F09-263B-4EFD-A568-EBDDC1A9AFC7}" destId="{6F4E4B4D-A719-4D17-9698-B630689A0480}" srcOrd="1" destOrd="0" presId="urn:microsoft.com/office/officeart/2005/8/layout/orgChart1"/>
    <dgm:cxn modelId="{B9C0E078-E0B3-424F-B9F1-CE679929B539}" type="presParOf" srcId="{6F4E4B4D-A719-4D17-9698-B630689A0480}" destId="{49DC18A9-BCCA-4FF2-A0AF-98F37A097ADF}" srcOrd="0" destOrd="0" presId="urn:microsoft.com/office/officeart/2005/8/layout/orgChart1"/>
    <dgm:cxn modelId="{36924E25-B27F-4476-B76C-22ECD56F97CF}" type="presParOf" srcId="{6F4E4B4D-A719-4D17-9698-B630689A0480}" destId="{BF016C89-6014-4B71-8331-B79059CB8240}" srcOrd="1" destOrd="0" presId="urn:microsoft.com/office/officeart/2005/8/layout/orgChart1"/>
    <dgm:cxn modelId="{8FFD776E-A6CD-4540-98FF-15064819C9B2}" type="presParOf" srcId="{BF016C89-6014-4B71-8331-B79059CB8240}" destId="{1A2EEC62-71A3-46D0-AC16-5E0281017875}" srcOrd="0" destOrd="0" presId="urn:microsoft.com/office/officeart/2005/8/layout/orgChart1"/>
    <dgm:cxn modelId="{0FF408E1-4FCB-4E28-86D0-A6BD0F45722F}" type="presParOf" srcId="{1A2EEC62-71A3-46D0-AC16-5E0281017875}" destId="{E0466857-1218-41AC-AD3D-A1E48C5812FE}" srcOrd="0" destOrd="0" presId="urn:microsoft.com/office/officeart/2005/8/layout/orgChart1"/>
    <dgm:cxn modelId="{7616C87F-5BBB-4A5A-8E27-0A9ECCEB170A}" type="presParOf" srcId="{1A2EEC62-71A3-46D0-AC16-5E0281017875}" destId="{6DC9106F-934C-46C6-A99E-CB1B3BFE4338}" srcOrd="1" destOrd="0" presId="urn:microsoft.com/office/officeart/2005/8/layout/orgChart1"/>
    <dgm:cxn modelId="{D0771CAA-0267-4BD8-9B51-B69268ECC8FD}" type="presParOf" srcId="{BF016C89-6014-4B71-8331-B79059CB8240}" destId="{8439E33E-4354-46FA-9DB2-12BDFC3C0F17}" srcOrd="1" destOrd="0" presId="urn:microsoft.com/office/officeart/2005/8/layout/orgChart1"/>
    <dgm:cxn modelId="{21AAA126-B9B3-499D-80ED-AA05A0EE769E}" type="presParOf" srcId="{BF016C89-6014-4B71-8331-B79059CB8240}" destId="{3D0B761B-9D6A-4ACE-B9AA-31D888FBF1B4}" srcOrd="2" destOrd="0" presId="urn:microsoft.com/office/officeart/2005/8/layout/orgChart1"/>
    <dgm:cxn modelId="{B09A02A3-409A-4B83-9D64-804A3F9D0486}" type="presParOf" srcId="{6F4E4B4D-A719-4D17-9698-B630689A0480}" destId="{CD125953-B136-4EC0-92C9-B8755C9CA6CC}" srcOrd="2" destOrd="0" presId="urn:microsoft.com/office/officeart/2005/8/layout/orgChart1"/>
    <dgm:cxn modelId="{ACBDE5FB-91F2-4A04-9816-6CB5B7FC581D}" type="presParOf" srcId="{6F4E4B4D-A719-4D17-9698-B630689A0480}" destId="{52FE460D-E334-4246-A6BB-192B1F687377}" srcOrd="3" destOrd="0" presId="urn:microsoft.com/office/officeart/2005/8/layout/orgChart1"/>
    <dgm:cxn modelId="{1DCEA26C-FDB6-4EBC-BFC1-CBCDE6FCED58}" type="presParOf" srcId="{52FE460D-E334-4246-A6BB-192B1F687377}" destId="{09971BF2-17B5-4061-B3B2-0833A158036C}" srcOrd="0" destOrd="0" presId="urn:microsoft.com/office/officeart/2005/8/layout/orgChart1"/>
    <dgm:cxn modelId="{64028A12-E30A-4B69-A9D1-A624FB160123}" type="presParOf" srcId="{09971BF2-17B5-4061-B3B2-0833A158036C}" destId="{942CC2C0-9CDC-487C-9BE2-14D15998052C}" srcOrd="0" destOrd="0" presId="urn:microsoft.com/office/officeart/2005/8/layout/orgChart1"/>
    <dgm:cxn modelId="{804A8B41-C255-45EA-B9A7-69CC8060B35F}" type="presParOf" srcId="{09971BF2-17B5-4061-B3B2-0833A158036C}" destId="{B8177884-2575-4721-BC04-9AEED81B6EBA}" srcOrd="1" destOrd="0" presId="urn:microsoft.com/office/officeart/2005/8/layout/orgChart1"/>
    <dgm:cxn modelId="{D0C0E586-4665-427A-8212-34408085BB57}" type="presParOf" srcId="{52FE460D-E334-4246-A6BB-192B1F687377}" destId="{235AB88C-87C8-47D1-B406-9357ACFDEC9C}" srcOrd="1" destOrd="0" presId="urn:microsoft.com/office/officeart/2005/8/layout/orgChart1"/>
    <dgm:cxn modelId="{F527591D-F47A-489E-A7AF-09911C8EDB29}" type="presParOf" srcId="{52FE460D-E334-4246-A6BB-192B1F687377}" destId="{A4D04D27-15EA-4055-BE38-CE8042F62FEC}" srcOrd="2" destOrd="0" presId="urn:microsoft.com/office/officeart/2005/8/layout/orgChart1"/>
    <dgm:cxn modelId="{932E70E8-504C-43FE-B1B7-7A0F47FB2A3A}" type="presParOf" srcId="{6F4E4B4D-A719-4D17-9698-B630689A0480}" destId="{BB2D4996-3C6B-4C76-9A76-F85D676E3CE2}" srcOrd="4" destOrd="0" presId="urn:microsoft.com/office/officeart/2005/8/layout/orgChart1"/>
    <dgm:cxn modelId="{DF5E8561-11AF-4F41-A30B-A36B8E2DD669}" type="presParOf" srcId="{6F4E4B4D-A719-4D17-9698-B630689A0480}" destId="{644F316A-B1A0-4FDC-9597-BCEAA5D6E04F}" srcOrd="5" destOrd="0" presId="urn:microsoft.com/office/officeart/2005/8/layout/orgChart1"/>
    <dgm:cxn modelId="{DE7502B9-64DD-4E23-B260-E19C4DD0071A}" type="presParOf" srcId="{644F316A-B1A0-4FDC-9597-BCEAA5D6E04F}" destId="{DE9585BD-A080-4C57-9102-63160374834F}" srcOrd="0" destOrd="0" presId="urn:microsoft.com/office/officeart/2005/8/layout/orgChart1"/>
    <dgm:cxn modelId="{4518A1AB-BE0D-4502-9166-5AB9D62BA94B}" type="presParOf" srcId="{DE9585BD-A080-4C57-9102-63160374834F}" destId="{7B918DDA-72D2-4FF9-8B22-748A5B5937D6}" srcOrd="0" destOrd="0" presId="urn:microsoft.com/office/officeart/2005/8/layout/orgChart1"/>
    <dgm:cxn modelId="{99A8836F-B87C-4B1F-8590-538C93E5AA40}" type="presParOf" srcId="{DE9585BD-A080-4C57-9102-63160374834F}" destId="{44822065-D220-4E8D-A768-3992C796F39C}" srcOrd="1" destOrd="0" presId="urn:microsoft.com/office/officeart/2005/8/layout/orgChart1"/>
    <dgm:cxn modelId="{15DB72B1-FE16-4334-BEFE-9673152F45A9}" type="presParOf" srcId="{644F316A-B1A0-4FDC-9597-BCEAA5D6E04F}" destId="{58901550-C87C-49A0-AD0D-E474E2CC8B8E}" srcOrd="1" destOrd="0" presId="urn:microsoft.com/office/officeart/2005/8/layout/orgChart1"/>
    <dgm:cxn modelId="{83B5631C-4716-48C5-BDFF-EF4032044B3F}" type="presParOf" srcId="{644F316A-B1A0-4FDC-9597-BCEAA5D6E04F}" destId="{2BD93A1E-F720-4616-8A04-98B4CCEADC4F}" srcOrd="2" destOrd="0" presId="urn:microsoft.com/office/officeart/2005/8/layout/orgChart1"/>
    <dgm:cxn modelId="{70BFEBB1-3AD7-42C3-8A88-8FF4B4D6D261}" type="presParOf" srcId="{6F4E4B4D-A719-4D17-9698-B630689A0480}" destId="{E75CC627-CD64-415D-800E-29CAEED9FC31}" srcOrd="6" destOrd="0" presId="urn:microsoft.com/office/officeart/2005/8/layout/orgChart1"/>
    <dgm:cxn modelId="{6DC3731A-8ED6-4A8A-AC74-FBBDEBCB2849}" type="presParOf" srcId="{6F4E4B4D-A719-4D17-9698-B630689A0480}" destId="{9DD4C373-EAAD-4E7C-8142-5F06C4E3BD05}" srcOrd="7" destOrd="0" presId="urn:microsoft.com/office/officeart/2005/8/layout/orgChart1"/>
    <dgm:cxn modelId="{2E93BADC-819A-4538-B2CE-E77334FA8C11}" type="presParOf" srcId="{9DD4C373-EAAD-4E7C-8142-5F06C4E3BD05}" destId="{2A53D8B6-95C5-4065-8581-9F4D6824166B}" srcOrd="0" destOrd="0" presId="urn:microsoft.com/office/officeart/2005/8/layout/orgChart1"/>
    <dgm:cxn modelId="{B87D4693-64B7-4FC9-B2D4-1B22BFD24246}" type="presParOf" srcId="{2A53D8B6-95C5-4065-8581-9F4D6824166B}" destId="{431B6021-DB12-4D3E-A499-137CD96E3AA9}" srcOrd="0" destOrd="0" presId="urn:microsoft.com/office/officeart/2005/8/layout/orgChart1"/>
    <dgm:cxn modelId="{31635C2D-62E6-4380-98C1-BBD592BCAB3D}" type="presParOf" srcId="{2A53D8B6-95C5-4065-8581-9F4D6824166B}" destId="{14EF5BDB-95A6-46D9-8C6B-56CA4F7823A4}" srcOrd="1" destOrd="0" presId="urn:microsoft.com/office/officeart/2005/8/layout/orgChart1"/>
    <dgm:cxn modelId="{D658C4F4-567A-4539-B452-F029E4834359}" type="presParOf" srcId="{9DD4C373-EAAD-4E7C-8142-5F06C4E3BD05}" destId="{C46DF50C-8469-4A3A-9FC0-7B8BF9BF81DD}" srcOrd="1" destOrd="0" presId="urn:microsoft.com/office/officeart/2005/8/layout/orgChart1"/>
    <dgm:cxn modelId="{222639CD-D673-4D4B-A31D-93450416D65C}" type="presParOf" srcId="{9DD4C373-EAAD-4E7C-8142-5F06C4E3BD05}" destId="{4741934E-98B5-4E6F-9931-59EA70BC1AAE}" srcOrd="2" destOrd="0" presId="urn:microsoft.com/office/officeart/2005/8/layout/orgChart1"/>
    <dgm:cxn modelId="{3B28FF07-C19A-43EE-BE1B-8F3F5A3F72AE}" type="presParOf" srcId="{6F4E4B4D-A719-4D17-9698-B630689A0480}" destId="{B90225E9-1936-46FC-BB11-E2B18B815EA5}" srcOrd="8" destOrd="0" presId="urn:microsoft.com/office/officeart/2005/8/layout/orgChart1"/>
    <dgm:cxn modelId="{38DAA38D-261E-4A00-82AA-F3163C225DA5}" type="presParOf" srcId="{6F4E4B4D-A719-4D17-9698-B630689A0480}" destId="{5E756816-D16D-4A9A-9FEE-B48B6575BB74}" srcOrd="9" destOrd="0" presId="urn:microsoft.com/office/officeart/2005/8/layout/orgChart1"/>
    <dgm:cxn modelId="{A15E2193-646B-465B-9096-D7D1A0CBD5DB}" type="presParOf" srcId="{5E756816-D16D-4A9A-9FEE-B48B6575BB74}" destId="{61F5FDA0-673E-401C-881B-3BBF38D0E72E}" srcOrd="0" destOrd="0" presId="urn:microsoft.com/office/officeart/2005/8/layout/orgChart1"/>
    <dgm:cxn modelId="{3F6BA791-30AD-42A5-8D07-DE02DEBABE7E}" type="presParOf" srcId="{61F5FDA0-673E-401C-881B-3BBF38D0E72E}" destId="{ED72266B-F13F-4ABB-B7D2-3B2E5DC88AEF}" srcOrd="0" destOrd="0" presId="urn:microsoft.com/office/officeart/2005/8/layout/orgChart1"/>
    <dgm:cxn modelId="{A2B004B6-8DEC-4B5B-8E31-2013B6CB227B}" type="presParOf" srcId="{61F5FDA0-673E-401C-881B-3BBF38D0E72E}" destId="{2F20EB50-C81A-4DED-B264-F15FC26B17C3}" srcOrd="1" destOrd="0" presId="urn:microsoft.com/office/officeart/2005/8/layout/orgChart1"/>
    <dgm:cxn modelId="{2AAF985D-8A03-441F-88C6-C568AE09E199}" type="presParOf" srcId="{5E756816-D16D-4A9A-9FEE-B48B6575BB74}" destId="{4511E49E-B912-453E-9CB7-A583CF2FAE84}" srcOrd="1" destOrd="0" presId="urn:microsoft.com/office/officeart/2005/8/layout/orgChart1"/>
    <dgm:cxn modelId="{3A180F9E-DB5C-4FB4-856E-3462DDF3963B}" type="presParOf" srcId="{5E756816-D16D-4A9A-9FEE-B48B6575BB74}" destId="{E972F901-5D3C-40C0-8EDE-AD20B7024C72}" srcOrd="2" destOrd="0" presId="urn:microsoft.com/office/officeart/2005/8/layout/orgChart1"/>
    <dgm:cxn modelId="{B93DEBE2-5ABB-4F92-878F-94AD96D2FBBE}" type="presParOf" srcId="{FCFC8F09-263B-4EFD-A568-EBDDC1A9AFC7}" destId="{B1C664F9-1196-4A66-B5A5-9A69E5A4EB4E}" srcOrd="2" destOrd="0" presId="urn:microsoft.com/office/officeart/2005/8/layout/orgChart1"/>
    <dgm:cxn modelId="{D8AFC202-E13B-4C14-B1AF-3C90553A5DA7}" type="presParOf" srcId="{E07480BA-6343-4442-9A79-25A15697E9DF}" destId="{9CF6B302-3E52-4810-8FC8-D44C2ACC8281}" srcOrd="6" destOrd="0" presId="urn:microsoft.com/office/officeart/2005/8/layout/orgChart1"/>
    <dgm:cxn modelId="{30B69C67-B07D-470F-92C2-B796E0942DBD}" type="presParOf" srcId="{E07480BA-6343-4442-9A79-25A15697E9DF}" destId="{C15803E8-1B96-427B-A938-8A58B67CD8DA}" srcOrd="7" destOrd="0" presId="urn:microsoft.com/office/officeart/2005/8/layout/orgChart1"/>
    <dgm:cxn modelId="{4F7F3FE1-5510-451B-B032-E6F0BA270CAF}" type="presParOf" srcId="{C15803E8-1B96-427B-A938-8A58B67CD8DA}" destId="{74B4C84C-BA28-420C-964B-FF8B9897942C}" srcOrd="0" destOrd="0" presId="urn:microsoft.com/office/officeart/2005/8/layout/orgChart1"/>
    <dgm:cxn modelId="{4613CB62-19B4-4157-910E-0AAF5B3699B7}" type="presParOf" srcId="{74B4C84C-BA28-420C-964B-FF8B9897942C}" destId="{166B8220-588E-4C20-A58B-846DFA93F157}" srcOrd="0" destOrd="0" presId="urn:microsoft.com/office/officeart/2005/8/layout/orgChart1"/>
    <dgm:cxn modelId="{5412232A-3B7A-4931-85D7-C23CE684697C}" type="presParOf" srcId="{74B4C84C-BA28-420C-964B-FF8B9897942C}" destId="{235FF3BB-9B4A-48D8-BAD7-B2B4E6A9854D}" srcOrd="1" destOrd="0" presId="urn:microsoft.com/office/officeart/2005/8/layout/orgChart1"/>
    <dgm:cxn modelId="{E17EFF33-2928-40AE-8656-D2C7211E6EEB}" type="presParOf" srcId="{C15803E8-1B96-427B-A938-8A58B67CD8DA}" destId="{77B9AC1A-D184-4DB7-B5E3-CFB94E3EEF99}" srcOrd="1" destOrd="0" presId="urn:microsoft.com/office/officeart/2005/8/layout/orgChart1"/>
    <dgm:cxn modelId="{FD583359-179C-4318-990E-0A916055C21D}" type="presParOf" srcId="{77B9AC1A-D184-4DB7-B5E3-CFB94E3EEF99}" destId="{4C147995-B9A8-4DA7-BCE3-DF122592CEFA}" srcOrd="0" destOrd="0" presId="urn:microsoft.com/office/officeart/2005/8/layout/orgChart1"/>
    <dgm:cxn modelId="{C7D366A2-1BAD-46C7-9228-7C6759A91648}" type="presParOf" srcId="{77B9AC1A-D184-4DB7-B5E3-CFB94E3EEF99}" destId="{E6E727FC-2207-4438-94C5-41013B490344}" srcOrd="1" destOrd="0" presId="urn:microsoft.com/office/officeart/2005/8/layout/orgChart1"/>
    <dgm:cxn modelId="{13B06326-BBC5-4407-BC23-30624B702CB0}" type="presParOf" srcId="{E6E727FC-2207-4438-94C5-41013B490344}" destId="{85EA9C77-0898-4426-B1A9-4DA8785BF2B1}" srcOrd="0" destOrd="0" presId="urn:microsoft.com/office/officeart/2005/8/layout/orgChart1"/>
    <dgm:cxn modelId="{459088A2-C843-4986-B4CC-FA154CA73569}" type="presParOf" srcId="{85EA9C77-0898-4426-B1A9-4DA8785BF2B1}" destId="{80C53F53-8BB5-4A28-BCAA-9B8F675F6A01}" srcOrd="0" destOrd="0" presId="urn:microsoft.com/office/officeart/2005/8/layout/orgChart1"/>
    <dgm:cxn modelId="{5F8A8327-73F4-4813-AF0E-6B7DAD59A0E3}" type="presParOf" srcId="{85EA9C77-0898-4426-B1A9-4DA8785BF2B1}" destId="{9A36FC55-1A98-4C19-A47E-1CDA0D244A2D}" srcOrd="1" destOrd="0" presId="urn:microsoft.com/office/officeart/2005/8/layout/orgChart1"/>
    <dgm:cxn modelId="{44B02FAD-686C-4605-BDB3-42B34D1D1ABE}" type="presParOf" srcId="{E6E727FC-2207-4438-94C5-41013B490344}" destId="{8F890BB9-8E36-48EB-AD94-850CD82C4E1D}" srcOrd="1" destOrd="0" presId="urn:microsoft.com/office/officeart/2005/8/layout/orgChart1"/>
    <dgm:cxn modelId="{1F7BBCD2-85AB-49B0-8F7F-F181A495CB7E}" type="presParOf" srcId="{E6E727FC-2207-4438-94C5-41013B490344}" destId="{654DD259-6684-4700-9A48-84D22A61A586}" srcOrd="2" destOrd="0" presId="urn:microsoft.com/office/officeart/2005/8/layout/orgChart1"/>
    <dgm:cxn modelId="{2FCDD9B2-2628-4336-90C6-A94C807119EA}" type="presParOf" srcId="{77B9AC1A-D184-4DB7-B5E3-CFB94E3EEF99}" destId="{32AE8488-6FF9-4E32-AB55-CEB5CB22BCD3}" srcOrd="2" destOrd="0" presId="urn:microsoft.com/office/officeart/2005/8/layout/orgChart1"/>
    <dgm:cxn modelId="{4409FD09-B6F2-4212-B212-6F189170A72F}" type="presParOf" srcId="{77B9AC1A-D184-4DB7-B5E3-CFB94E3EEF99}" destId="{ABAA0F6C-C2DF-46B2-9EB4-EB9380F8ABB6}" srcOrd="3" destOrd="0" presId="urn:microsoft.com/office/officeart/2005/8/layout/orgChart1"/>
    <dgm:cxn modelId="{EEC26171-9E48-46DA-99E5-A370A0ABB12A}" type="presParOf" srcId="{ABAA0F6C-C2DF-46B2-9EB4-EB9380F8ABB6}" destId="{0BA43370-E6BF-43DA-A3D4-DB4455AA1D2A}" srcOrd="0" destOrd="0" presId="urn:microsoft.com/office/officeart/2005/8/layout/orgChart1"/>
    <dgm:cxn modelId="{8BBF9960-EFFB-4E30-8FBD-922F81C6B940}" type="presParOf" srcId="{0BA43370-E6BF-43DA-A3D4-DB4455AA1D2A}" destId="{EABDFF00-2D75-4D0F-ACB4-14B9045A68AE}" srcOrd="0" destOrd="0" presId="urn:microsoft.com/office/officeart/2005/8/layout/orgChart1"/>
    <dgm:cxn modelId="{488F3141-C5FD-4616-BAC2-372431FB6938}" type="presParOf" srcId="{0BA43370-E6BF-43DA-A3D4-DB4455AA1D2A}" destId="{D58DBBBE-5562-4AB6-AFCB-63EACD740308}" srcOrd="1" destOrd="0" presId="urn:microsoft.com/office/officeart/2005/8/layout/orgChart1"/>
    <dgm:cxn modelId="{6EFC37D8-9743-4800-B031-A43594417A46}" type="presParOf" srcId="{ABAA0F6C-C2DF-46B2-9EB4-EB9380F8ABB6}" destId="{F6DBA386-666B-47C7-8770-972764D0B8E7}" srcOrd="1" destOrd="0" presId="urn:microsoft.com/office/officeart/2005/8/layout/orgChart1"/>
    <dgm:cxn modelId="{EF46BE45-B268-4C30-9DAA-0D3319F02996}" type="presParOf" srcId="{ABAA0F6C-C2DF-46B2-9EB4-EB9380F8ABB6}" destId="{BAC9F208-7514-4040-A514-197E46E4F477}" srcOrd="2" destOrd="0" presId="urn:microsoft.com/office/officeart/2005/8/layout/orgChart1"/>
    <dgm:cxn modelId="{BADC4A34-437B-42F3-A9B5-5C4234446230}" type="presParOf" srcId="{C15803E8-1B96-427B-A938-8A58B67CD8DA}" destId="{145B8AB5-6A24-4A9C-A818-8CFC1563606F}" srcOrd="2" destOrd="0" presId="urn:microsoft.com/office/officeart/2005/8/layout/orgChart1"/>
    <dgm:cxn modelId="{1ACEA1FE-01C8-4003-B216-6CE524B4841E}" type="presParOf" srcId="{B349C985-4F52-46FC-BFB1-B4DBC9B79BEA}" destId="{60CECA09-768D-4C11-9C7D-CB55B8DCA696}" srcOrd="2" destOrd="0" presId="urn:microsoft.com/office/officeart/2005/8/layout/orgChart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AE8488-6FF9-4E32-AB55-CEB5CB22BCD3}">
      <dsp:nvSpPr>
        <dsp:cNvPr id="0" name=""/>
        <dsp:cNvSpPr/>
      </dsp:nvSpPr>
      <dsp:spPr>
        <a:xfrm>
          <a:off x="4345336" y="1187207"/>
          <a:ext cx="146976" cy="1146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417"/>
              </a:lnTo>
              <a:lnTo>
                <a:pt x="146976" y="1146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147995-B9A8-4DA7-BCE3-DF122592CEFA}">
      <dsp:nvSpPr>
        <dsp:cNvPr id="0" name=""/>
        <dsp:cNvSpPr/>
      </dsp:nvSpPr>
      <dsp:spPr>
        <a:xfrm>
          <a:off x="4345336" y="1187207"/>
          <a:ext cx="146976" cy="450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728"/>
              </a:lnTo>
              <a:lnTo>
                <a:pt x="146976" y="4507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F6B302-3E52-4810-8FC8-D44C2ACC8281}">
      <dsp:nvSpPr>
        <dsp:cNvPr id="0" name=""/>
        <dsp:cNvSpPr/>
      </dsp:nvSpPr>
      <dsp:spPr>
        <a:xfrm>
          <a:off x="2958856" y="491517"/>
          <a:ext cx="1778417" cy="2057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883"/>
              </a:lnTo>
              <a:lnTo>
                <a:pt x="1778417" y="102883"/>
              </a:lnTo>
              <a:lnTo>
                <a:pt x="1778417" y="2057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0225E9-1936-46FC-BB11-E2B18B815EA5}">
      <dsp:nvSpPr>
        <dsp:cNvPr id="0" name=""/>
        <dsp:cNvSpPr/>
      </dsp:nvSpPr>
      <dsp:spPr>
        <a:xfrm>
          <a:off x="3159725" y="1187207"/>
          <a:ext cx="146976" cy="32334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33486"/>
              </a:lnTo>
              <a:lnTo>
                <a:pt x="146976" y="32334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5CC627-CD64-415D-800E-29CAEED9FC31}">
      <dsp:nvSpPr>
        <dsp:cNvPr id="0" name=""/>
        <dsp:cNvSpPr/>
      </dsp:nvSpPr>
      <dsp:spPr>
        <a:xfrm>
          <a:off x="3159725" y="1187207"/>
          <a:ext cx="146976" cy="25377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37796"/>
              </a:lnTo>
              <a:lnTo>
                <a:pt x="146976" y="25377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2D4996-3C6B-4C76-9A76-F85D676E3CE2}">
      <dsp:nvSpPr>
        <dsp:cNvPr id="0" name=""/>
        <dsp:cNvSpPr/>
      </dsp:nvSpPr>
      <dsp:spPr>
        <a:xfrm>
          <a:off x="3159725" y="1187207"/>
          <a:ext cx="146976" cy="18421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2107"/>
              </a:lnTo>
              <a:lnTo>
                <a:pt x="146976" y="18421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125953-B136-4EC0-92C9-B8755C9CA6CC}">
      <dsp:nvSpPr>
        <dsp:cNvPr id="0" name=""/>
        <dsp:cNvSpPr/>
      </dsp:nvSpPr>
      <dsp:spPr>
        <a:xfrm>
          <a:off x="3159725" y="1187207"/>
          <a:ext cx="146976" cy="1146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417"/>
              </a:lnTo>
              <a:lnTo>
                <a:pt x="146976" y="1146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DC18A9-BCCA-4FF2-A0AF-98F37A097ADF}">
      <dsp:nvSpPr>
        <dsp:cNvPr id="0" name=""/>
        <dsp:cNvSpPr/>
      </dsp:nvSpPr>
      <dsp:spPr>
        <a:xfrm>
          <a:off x="3159725" y="1187207"/>
          <a:ext cx="146976" cy="450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728"/>
              </a:lnTo>
              <a:lnTo>
                <a:pt x="146976" y="4507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CF63DB-0769-41AD-AEE1-C5FC04006C3E}">
      <dsp:nvSpPr>
        <dsp:cNvPr id="0" name=""/>
        <dsp:cNvSpPr/>
      </dsp:nvSpPr>
      <dsp:spPr>
        <a:xfrm>
          <a:off x="2958856" y="491517"/>
          <a:ext cx="592805" cy="2057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883"/>
              </a:lnTo>
              <a:lnTo>
                <a:pt x="592805" y="102883"/>
              </a:lnTo>
              <a:lnTo>
                <a:pt x="592805" y="2057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76C30F-163C-465A-BF71-B60032769B73}">
      <dsp:nvSpPr>
        <dsp:cNvPr id="0" name=""/>
        <dsp:cNvSpPr/>
      </dsp:nvSpPr>
      <dsp:spPr>
        <a:xfrm>
          <a:off x="1974113" y="1187207"/>
          <a:ext cx="146976" cy="18421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42107"/>
              </a:lnTo>
              <a:lnTo>
                <a:pt x="146976" y="184210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FD86F0-8375-4376-BB7E-E0F135FE9A51}">
      <dsp:nvSpPr>
        <dsp:cNvPr id="0" name=""/>
        <dsp:cNvSpPr/>
      </dsp:nvSpPr>
      <dsp:spPr>
        <a:xfrm>
          <a:off x="1974113" y="1187207"/>
          <a:ext cx="146976" cy="1146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417"/>
              </a:lnTo>
              <a:lnTo>
                <a:pt x="146976" y="1146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1FD2B6-1BFA-480E-B59A-A0868666D1C9}">
      <dsp:nvSpPr>
        <dsp:cNvPr id="0" name=""/>
        <dsp:cNvSpPr/>
      </dsp:nvSpPr>
      <dsp:spPr>
        <a:xfrm>
          <a:off x="1974113" y="1187207"/>
          <a:ext cx="146976" cy="450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728"/>
              </a:lnTo>
              <a:lnTo>
                <a:pt x="146976" y="4507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F04BAF-6CB5-4EBE-8526-4B26C53DBE4B}">
      <dsp:nvSpPr>
        <dsp:cNvPr id="0" name=""/>
        <dsp:cNvSpPr/>
      </dsp:nvSpPr>
      <dsp:spPr>
        <a:xfrm>
          <a:off x="2366051" y="491517"/>
          <a:ext cx="592805" cy="205767"/>
        </a:xfrm>
        <a:custGeom>
          <a:avLst/>
          <a:gdLst/>
          <a:ahLst/>
          <a:cxnLst/>
          <a:rect l="0" t="0" r="0" b="0"/>
          <a:pathLst>
            <a:path>
              <a:moveTo>
                <a:pt x="592805" y="0"/>
              </a:moveTo>
              <a:lnTo>
                <a:pt x="592805" y="102883"/>
              </a:lnTo>
              <a:lnTo>
                <a:pt x="0" y="102883"/>
              </a:lnTo>
              <a:lnTo>
                <a:pt x="0" y="2057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88117D-CF00-488D-BC65-3CA7FE49D3A8}">
      <dsp:nvSpPr>
        <dsp:cNvPr id="0" name=""/>
        <dsp:cNvSpPr/>
      </dsp:nvSpPr>
      <dsp:spPr>
        <a:xfrm>
          <a:off x="788501" y="1187207"/>
          <a:ext cx="146976" cy="11464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46417"/>
              </a:lnTo>
              <a:lnTo>
                <a:pt x="146976" y="114641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86985D-D84E-4907-9929-91CA24AE513F}">
      <dsp:nvSpPr>
        <dsp:cNvPr id="0" name=""/>
        <dsp:cNvSpPr/>
      </dsp:nvSpPr>
      <dsp:spPr>
        <a:xfrm>
          <a:off x="788501" y="1187207"/>
          <a:ext cx="146976" cy="4507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0728"/>
              </a:lnTo>
              <a:lnTo>
                <a:pt x="146976" y="4507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75F24-C0B4-46C2-96A5-DCD1D328C33C}">
      <dsp:nvSpPr>
        <dsp:cNvPr id="0" name=""/>
        <dsp:cNvSpPr/>
      </dsp:nvSpPr>
      <dsp:spPr>
        <a:xfrm>
          <a:off x="1180439" y="491517"/>
          <a:ext cx="1778417" cy="205767"/>
        </a:xfrm>
        <a:custGeom>
          <a:avLst/>
          <a:gdLst/>
          <a:ahLst/>
          <a:cxnLst/>
          <a:rect l="0" t="0" r="0" b="0"/>
          <a:pathLst>
            <a:path>
              <a:moveTo>
                <a:pt x="1778417" y="0"/>
              </a:moveTo>
              <a:lnTo>
                <a:pt x="1778417" y="102883"/>
              </a:lnTo>
              <a:lnTo>
                <a:pt x="0" y="102883"/>
              </a:lnTo>
              <a:lnTo>
                <a:pt x="0" y="2057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C680B-DD76-4084-8A1E-D7A4354CA2F6}">
      <dsp:nvSpPr>
        <dsp:cNvPr id="0" name=""/>
        <dsp:cNvSpPr/>
      </dsp:nvSpPr>
      <dsp:spPr>
        <a:xfrm>
          <a:off x="2468934" y="1595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Модели ГЧП</a:t>
          </a:r>
        </a:p>
      </dsp:txBody>
      <dsp:txXfrm>
        <a:off x="2468934" y="1595"/>
        <a:ext cx="979844" cy="489922"/>
      </dsp:txXfrm>
    </dsp:sp>
    <dsp:sp modelId="{AD30C6E5-82C9-41E2-977B-4D33D2DC6D6C}">
      <dsp:nvSpPr>
        <dsp:cNvPr id="0" name=""/>
        <dsp:cNvSpPr/>
      </dsp:nvSpPr>
      <dsp:spPr>
        <a:xfrm>
          <a:off x="690517" y="697285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Контракты на управление и аренду</a:t>
          </a:r>
        </a:p>
      </dsp:txBody>
      <dsp:txXfrm>
        <a:off x="690517" y="697285"/>
        <a:ext cx="979844" cy="489922"/>
      </dsp:txXfrm>
    </dsp:sp>
    <dsp:sp modelId="{742B5836-5D43-4393-BEF8-1975104170E4}">
      <dsp:nvSpPr>
        <dsp:cNvPr id="0" name=""/>
        <dsp:cNvSpPr/>
      </dsp:nvSpPr>
      <dsp:spPr>
        <a:xfrm>
          <a:off x="935478" y="1392974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Контракты на управление </a:t>
          </a:r>
        </a:p>
      </dsp:txBody>
      <dsp:txXfrm>
        <a:off x="935478" y="1392974"/>
        <a:ext cx="979844" cy="489922"/>
      </dsp:txXfrm>
    </dsp:sp>
    <dsp:sp modelId="{3EAE8730-54E9-4F11-9123-BB5DAEDD6883}">
      <dsp:nvSpPr>
        <dsp:cNvPr id="0" name=""/>
        <dsp:cNvSpPr/>
      </dsp:nvSpPr>
      <dsp:spPr>
        <a:xfrm>
          <a:off x="935478" y="208866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Договор аренды </a:t>
          </a:r>
        </a:p>
      </dsp:txBody>
      <dsp:txXfrm>
        <a:off x="935478" y="2088663"/>
        <a:ext cx="979844" cy="489922"/>
      </dsp:txXfrm>
    </dsp:sp>
    <dsp:sp modelId="{E8AAF75C-8C1D-4D89-B263-0C4A424A55FF}">
      <dsp:nvSpPr>
        <dsp:cNvPr id="0" name=""/>
        <dsp:cNvSpPr/>
      </dsp:nvSpPr>
      <dsp:spPr>
        <a:xfrm>
          <a:off x="1876129" y="697285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Концессии</a:t>
          </a:r>
        </a:p>
      </dsp:txBody>
      <dsp:txXfrm>
        <a:off x="1876129" y="697285"/>
        <a:ext cx="979844" cy="489922"/>
      </dsp:txXfrm>
    </dsp:sp>
    <dsp:sp modelId="{D25A85FA-C7B4-496C-AE57-1552FF98C4DD}">
      <dsp:nvSpPr>
        <dsp:cNvPr id="0" name=""/>
        <dsp:cNvSpPr/>
      </dsp:nvSpPr>
      <dsp:spPr>
        <a:xfrm>
          <a:off x="2121090" y="1392974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Реконструкция - эксплуатация - передача </a:t>
          </a:r>
        </a:p>
      </dsp:txBody>
      <dsp:txXfrm>
        <a:off x="2121090" y="1392974"/>
        <a:ext cx="979844" cy="489922"/>
      </dsp:txXfrm>
    </dsp:sp>
    <dsp:sp modelId="{8C978C47-5D50-4607-85BF-666B2ABB88CF}">
      <dsp:nvSpPr>
        <dsp:cNvPr id="0" name=""/>
        <dsp:cNvSpPr/>
      </dsp:nvSpPr>
      <dsp:spPr>
        <a:xfrm>
          <a:off x="2121090" y="208866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Реконструкция - аренда - передача </a:t>
          </a:r>
        </a:p>
      </dsp:txBody>
      <dsp:txXfrm>
        <a:off x="2121090" y="2088663"/>
        <a:ext cx="979844" cy="489922"/>
      </dsp:txXfrm>
    </dsp:sp>
    <dsp:sp modelId="{1F9CA69E-6F5E-4B6F-A04B-6A60CA831094}">
      <dsp:nvSpPr>
        <dsp:cNvPr id="0" name=""/>
        <dsp:cNvSpPr/>
      </dsp:nvSpPr>
      <dsp:spPr>
        <a:xfrm>
          <a:off x="2121090" y="278435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Строительство - реконструкция - управление - передача </a:t>
          </a:r>
        </a:p>
      </dsp:txBody>
      <dsp:txXfrm>
        <a:off x="2121090" y="2784353"/>
        <a:ext cx="979844" cy="489922"/>
      </dsp:txXfrm>
    </dsp:sp>
    <dsp:sp modelId="{BD3F3B5C-8E1A-459A-B38B-A5B8E00E1DE9}">
      <dsp:nvSpPr>
        <dsp:cNvPr id="0" name=""/>
        <dsp:cNvSpPr/>
      </dsp:nvSpPr>
      <dsp:spPr>
        <a:xfrm>
          <a:off x="3061740" y="697285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Проекты с чистого листа</a:t>
          </a:r>
        </a:p>
      </dsp:txBody>
      <dsp:txXfrm>
        <a:off x="3061740" y="697285"/>
        <a:ext cx="979844" cy="489922"/>
      </dsp:txXfrm>
    </dsp:sp>
    <dsp:sp modelId="{E0466857-1218-41AC-AD3D-A1E48C5812FE}">
      <dsp:nvSpPr>
        <dsp:cNvPr id="0" name=""/>
        <dsp:cNvSpPr/>
      </dsp:nvSpPr>
      <dsp:spPr>
        <a:xfrm>
          <a:off x="3306701" y="1392974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Строительство - аренда - передача </a:t>
          </a:r>
        </a:p>
      </dsp:txBody>
      <dsp:txXfrm>
        <a:off x="3306701" y="1392974"/>
        <a:ext cx="979844" cy="489922"/>
      </dsp:txXfrm>
    </dsp:sp>
    <dsp:sp modelId="{942CC2C0-9CDC-487C-9BE2-14D15998052C}">
      <dsp:nvSpPr>
        <dsp:cNvPr id="0" name=""/>
        <dsp:cNvSpPr/>
      </dsp:nvSpPr>
      <dsp:spPr>
        <a:xfrm>
          <a:off x="3306701" y="208866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Строительство - эксплуатация - передача </a:t>
          </a:r>
        </a:p>
      </dsp:txBody>
      <dsp:txXfrm>
        <a:off x="3306701" y="2088663"/>
        <a:ext cx="979844" cy="489922"/>
      </dsp:txXfrm>
    </dsp:sp>
    <dsp:sp modelId="{7B918DDA-72D2-4FF9-8B22-748A5B5937D6}">
      <dsp:nvSpPr>
        <dsp:cNvPr id="0" name=""/>
        <dsp:cNvSpPr/>
      </dsp:nvSpPr>
      <dsp:spPr>
        <a:xfrm>
          <a:off x="3306701" y="278435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Строительство - владение - эксплуатация </a:t>
          </a:r>
        </a:p>
      </dsp:txBody>
      <dsp:txXfrm>
        <a:off x="3306701" y="2784353"/>
        <a:ext cx="979844" cy="489922"/>
      </dsp:txXfrm>
    </dsp:sp>
    <dsp:sp modelId="{431B6021-DB12-4D3E-A499-137CD96E3AA9}">
      <dsp:nvSpPr>
        <dsp:cNvPr id="0" name=""/>
        <dsp:cNvSpPr/>
      </dsp:nvSpPr>
      <dsp:spPr>
        <a:xfrm>
          <a:off x="3306701" y="3480042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Коммерсант</a:t>
          </a:r>
        </a:p>
      </dsp:txBody>
      <dsp:txXfrm>
        <a:off x="3306701" y="3480042"/>
        <a:ext cx="979844" cy="489922"/>
      </dsp:txXfrm>
    </dsp:sp>
    <dsp:sp modelId="{ED72266B-F13F-4ABB-B7D2-3B2E5DC88AEF}">
      <dsp:nvSpPr>
        <dsp:cNvPr id="0" name=""/>
        <dsp:cNvSpPr/>
      </dsp:nvSpPr>
      <dsp:spPr>
        <a:xfrm>
          <a:off x="3306701" y="4175732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Аренда</a:t>
          </a:r>
        </a:p>
      </dsp:txBody>
      <dsp:txXfrm>
        <a:off x="3306701" y="4175732"/>
        <a:ext cx="979844" cy="489922"/>
      </dsp:txXfrm>
    </dsp:sp>
    <dsp:sp modelId="{166B8220-588E-4C20-A58B-846DFA93F157}">
      <dsp:nvSpPr>
        <dsp:cNvPr id="0" name=""/>
        <dsp:cNvSpPr/>
      </dsp:nvSpPr>
      <dsp:spPr>
        <a:xfrm>
          <a:off x="4247352" y="697285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Передача активов</a:t>
          </a:r>
        </a:p>
      </dsp:txBody>
      <dsp:txXfrm>
        <a:off x="4247352" y="697285"/>
        <a:ext cx="979844" cy="489922"/>
      </dsp:txXfrm>
    </dsp:sp>
    <dsp:sp modelId="{80C53F53-8BB5-4A28-BCAA-9B8F675F6A01}">
      <dsp:nvSpPr>
        <dsp:cNvPr id="0" name=""/>
        <dsp:cNvSpPr/>
      </dsp:nvSpPr>
      <dsp:spPr>
        <a:xfrm>
          <a:off x="4492313" y="1392974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Полная</a:t>
          </a:r>
        </a:p>
      </dsp:txBody>
      <dsp:txXfrm>
        <a:off x="4492313" y="1392974"/>
        <a:ext cx="979844" cy="489922"/>
      </dsp:txXfrm>
    </dsp:sp>
    <dsp:sp modelId="{EABDFF00-2D75-4D0F-ACB4-14B9045A68AE}">
      <dsp:nvSpPr>
        <dsp:cNvPr id="0" name=""/>
        <dsp:cNvSpPr/>
      </dsp:nvSpPr>
      <dsp:spPr>
        <a:xfrm>
          <a:off x="4492313" y="2088663"/>
          <a:ext cx="979844" cy="4899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Частичная</a:t>
          </a:r>
        </a:p>
      </dsp:txBody>
      <dsp:txXfrm>
        <a:off x="4492313" y="2088663"/>
        <a:ext cx="979844" cy="4899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6192C-20B2-48D9-BBF9-472CA3CFB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7959</Words>
  <Characters>45368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Виктория Владимировна</dc:creator>
  <cp:lastModifiedBy>User</cp:lastModifiedBy>
  <cp:revision>5</cp:revision>
  <dcterms:created xsi:type="dcterms:W3CDTF">2018-06-07T09:21:00Z</dcterms:created>
  <dcterms:modified xsi:type="dcterms:W3CDTF">2018-06-07T19:48:00Z</dcterms:modified>
</cp:coreProperties>
</file>