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B8370" w14:textId="288F018F" w:rsidR="00771665" w:rsidRPr="00D40140" w:rsidRDefault="00771665" w:rsidP="00D40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>ВНЕДРЕНИЕ РЕАКТОРА РЖФА-6500 КАК МЕРА ПО СНИЖЕНИЮ ПОТЕРЬ ЭЛЕКТРОЭНЕРГИИ В СГЛАЖИВАЮЩЕМ УСТРОЙСТВЕ ТЯГОВОЙ ПОДСТАНЦИИ ПОСТОЯННОГО ТОКА</w:t>
      </w:r>
    </w:p>
    <w:p w14:paraId="5F4E3FD2" w14:textId="77777777" w:rsidR="00771665" w:rsidRPr="00D40140" w:rsidRDefault="00771665" w:rsidP="00D40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91D3F" w14:textId="33019154" w:rsidR="00485593" w:rsidRPr="00D40140" w:rsidRDefault="00485593" w:rsidP="00D4014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140">
        <w:rPr>
          <w:rFonts w:ascii="Times New Roman" w:hAnsi="Times New Roman" w:cs="Times New Roman"/>
          <w:bCs/>
          <w:sz w:val="24"/>
          <w:szCs w:val="24"/>
        </w:rPr>
        <w:t>Шевелёв</w:t>
      </w:r>
      <w:proofErr w:type="spellEnd"/>
      <w:r w:rsidRPr="00D40140">
        <w:rPr>
          <w:rFonts w:ascii="Times New Roman" w:hAnsi="Times New Roman" w:cs="Times New Roman"/>
          <w:bCs/>
          <w:sz w:val="24"/>
          <w:szCs w:val="24"/>
        </w:rPr>
        <w:t xml:space="preserve"> Дмитрий Юрьевич</w:t>
      </w:r>
    </w:p>
    <w:p w14:paraId="7913DF30" w14:textId="77777777" w:rsidR="00485593" w:rsidRPr="00D40140" w:rsidRDefault="00485593" w:rsidP="00D401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140">
        <w:rPr>
          <w:rFonts w:ascii="Times New Roman" w:hAnsi="Times New Roman" w:cs="Times New Roman"/>
          <w:bCs/>
          <w:sz w:val="24"/>
          <w:szCs w:val="24"/>
        </w:rPr>
        <w:t>студент 4-го курса</w:t>
      </w:r>
    </w:p>
    <w:p w14:paraId="3B291AD0" w14:textId="199834D7" w:rsidR="00D40140" w:rsidRPr="00D40140" w:rsidRDefault="00D40140" w:rsidP="00D40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Тайгинский институт железнодорожного транспорта </w:t>
      </w:r>
      <w:r w:rsidRPr="00D40140">
        <w:rPr>
          <w:rFonts w:ascii="Times New Roman" w:hAnsi="Times New Roman" w:cs="Times New Roman"/>
          <w:sz w:val="24"/>
          <w:szCs w:val="24"/>
        </w:rPr>
        <w:t>–</w:t>
      </w:r>
      <w:r w:rsidRPr="00D4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FE695" w14:textId="77777777" w:rsidR="00D40140" w:rsidRPr="00D40140" w:rsidRDefault="00D40140" w:rsidP="00D40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14:paraId="063B8660" w14:textId="77777777" w:rsidR="00D40140" w:rsidRPr="00D40140" w:rsidRDefault="00D40140" w:rsidP="00D40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14:paraId="1A3ACC06" w14:textId="349EBFB5" w:rsidR="00D40140" w:rsidRPr="00D40140" w:rsidRDefault="00D40140" w:rsidP="00D40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14:paraId="1C5B20E6" w14:textId="77777777" w:rsidR="00485593" w:rsidRPr="00D40140" w:rsidRDefault="00485593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09DD16" w14:textId="77777777" w:rsidR="00485593" w:rsidRPr="00D40140" w:rsidRDefault="00485593" w:rsidP="00D4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Аннотация:</w:t>
      </w:r>
      <w:r w:rsidRPr="00D4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статья посвящена обоснованию </w:t>
      </w:r>
      <w:proofErr w:type="gramStart"/>
      <w:r w:rsidRPr="00D4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целесообразности замены реакторов тяговых подстанции типа</w:t>
      </w:r>
      <w:proofErr w:type="gramEnd"/>
      <w:r w:rsidRPr="00D4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0140">
        <w:rPr>
          <w:rFonts w:ascii="Times New Roman" w:hAnsi="Times New Roman" w:cs="Times New Roman"/>
          <w:sz w:val="24"/>
          <w:szCs w:val="24"/>
        </w:rPr>
        <w:t>РБФА-У-6500/3250 на современные низкоомные реакторы типа РЖФА-6500</w:t>
      </w:r>
    </w:p>
    <w:p w14:paraId="68738469" w14:textId="5FC8EBDC" w:rsidR="00485593" w:rsidRPr="00D40140" w:rsidRDefault="00485593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слова:</w:t>
      </w:r>
      <w:r w:rsidRPr="00D4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D7511" w:rsidRPr="00D4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энергоэффективность</w:t>
      </w:r>
      <w:proofErr w:type="spellEnd"/>
      <w:r w:rsidR="00ED7511" w:rsidRPr="00D4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сглаживающий фильтр, реактор, сердечник, потери</w:t>
      </w:r>
    </w:p>
    <w:p w14:paraId="32AB8DE2" w14:textId="77777777" w:rsidR="006D4134" w:rsidRPr="00D40140" w:rsidRDefault="006D4134" w:rsidP="00D4014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14:paraId="7A6ED37E" w14:textId="5155A2F3" w:rsidR="00E02FCF" w:rsidRPr="00D40140" w:rsidRDefault="00AF78D6" w:rsidP="00D401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hd w:val="clear" w:color="auto" w:fill="FFFFFF"/>
        </w:rPr>
      </w:pPr>
      <w:r w:rsidRPr="00D40140">
        <w:rPr>
          <w:color w:val="202020"/>
          <w:shd w:val="clear" w:color="auto" w:fill="FFFFFF"/>
        </w:rPr>
        <w:t xml:space="preserve">Электрифицированный полигон железных дорог насчитывает 43,4 тыс. км эксплуатационной длины (121 тыс. км развернутой длины), или 50,4% от общей протяженности сети, в </w:t>
      </w:r>
      <w:proofErr w:type="spellStart"/>
      <w:r w:rsidRPr="00D40140">
        <w:rPr>
          <w:color w:val="202020"/>
          <w:shd w:val="clear" w:color="auto" w:fill="FFFFFF"/>
        </w:rPr>
        <w:t>т.ч</w:t>
      </w:r>
      <w:proofErr w:type="spellEnd"/>
      <w:r w:rsidRPr="00D40140">
        <w:rPr>
          <w:color w:val="202020"/>
          <w:shd w:val="clear" w:color="auto" w:fill="FFFFFF"/>
        </w:rPr>
        <w:t>. на переменном токе – 24,49 тыс. км (57% полигона электрификации). На Западно-Сибирской</w:t>
      </w:r>
      <w:r w:rsidR="003B0C51" w:rsidRPr="00D40140">
        <w:rPr>
          <w:color w:val="202020"/>
          <w:shd w:val="clear" w:color="auto" w:fill="FFFFFF"/>
        </w:rPr>
        <w:t xml:space="preserve"> </w:t>
      </w:r>
      <w:r w:rsidRPr="00D40140">
        <w:rPr>
          <w:color w:val="202020"/>
          <w:shd w:val="clear" w:color="auto" w:fill="FFFFFF"/>
        </w:rPr>
        <w:t>железной дороге применяетс</w:t>
      </w:r>
      <w:r w:rsidR="00E02FCF" w:rsidRPr="00D40140">
        <w:rPr>
          <w:color w:val="202020"/>
          <w:shd w:val="clear" w:color="auto" w:fill="FFFFFF"/>
        </w:rPr>
        <w:t>я в основном система электроснабжения</w:t>
      </w:r>
      <w:r w:rsidRPr="00D40140">
        <w:rPr>
          <w:color w:val="202020"/>
          <w:shd w:val="clear" w:color="auto" w:fill="FFFFFF"/>
        </w:rPr>
        <w:t xml:space="preserve"> постоянного тока</w:t>
      </w:r>
      <w:r w:rsidR="00E02FCF" w:rsidRPr="00D40140">
        <w:rPr>
          <w:color w:val="202020"/>
          <w:shd w:val="clear" w:color="auto" w:fill="FFFFFF"/>
        </w:rPr>
        <w:t xml:space="preserve">. </w:t>
      </w:r>
      <w:r w:rsidR="00E44B26" w:rsidRPr="00D40140">
        <w:rPr>
          <w:color w:val="202020"/>
          <w:shd w:val="clear" w:color="auto" w:fill="FFFFFF"/>
        </w:rPr>
        <w:t xml:space="preserve">В соответствии с </w:t>
      </w:r>
      <w:r w:rsidR="00E44B26" w:rsidRPr="00D40140">
        <w:rPr>
          <w:color w:val="231F20"/>
        </w:rPr>
        <w:t xml:space="preserve">Энергетической стратегии холдинга «РЖД» для повышения энергетической эффективности </w:t>
      </w:r>
      <w:r w:rsidR="008D2BAE" w:rsidRPr="00D40140">
        <w:rPr>
          <w:color w:val="231F20"/>
        </w:rPr>
        <w:t>обществ, входящих в состав холдинга «РЖД» в числе прочего необходимо упрощение схем и оптимизация параметров сглаживающих фильтров.</w:t>
      </w:r>
      <w:r w:rsidR="00E44B26" w:rsidRPr="00D40140">
        <w:rPr>
          <w:color w:val="202020"/>
          <w:highlight w:val="yellow"/>
          <w:shd w:val="clear" w:color="auto" w:fill="FFFFFF"/>
        </w:rPr>
        <w:t xml:space="preserve"> </w:t>
      </w:r>
    </w:p>
    <w:p w14:paraId="08B4720D" w14:textId="08130B23" w:rsidR="0041430C" w:rsidRPr="00D40140" w:rsidRDefault="00D40140" w:rsidP="00D4014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hyperlink r:id="rId6" w:anchor="cite_note-1" w:history="1"/>
      <w:r w:rsidR="00361AAC" w:rsidRPr="00D40140">
        <w:rPr>
          <w:color w:val="202020"/>
          <w:shd w:val="clear" w:color="auto" w:fill="FFFFFF"/>
        </w:rPr>
        <w:t>Постоянный ток подается в контактную сеть от тяговых понижающих подстанций, где напряжение от высоково</w:t>
      </w:r>
      <w:r w:rsidR="00D13A6C" w:rsidRPr="00D40140">
        <w:rPr>
          <w:color w:val="202020"/>
          <w:shd w:val="clear" w:color="auto" w:fill="FFFFFF"/>
        </w:rPr>
        <w:t xml:space="preserve">льтной сети снижается до 3,3 </w:t>
      </w:r>
      <w:proofErr w:type="spellStart"/>
      <w:r w:rsidR="00D13A6C" w:rsidRPr="00D40140">
        <w:rPr>
          <w:color w:val="202020"/>
          <w:shd w:val="clear" w:color="auto" w:fill="FFFFFF"/>
        </w:rPr>
        <w:t>кВ</w:t>
      </w:r>
      <w:proofErr w:type="spellEnd"/>
      <w:r w:rsidR="00D13A6C" w:rsidRPr="00D40140">
        <w:rPr>
          <w:color w:val="202020"/>
          <w:shd w:val="clear" w:color="auto" w:fill="FFFFFF"/>
        </w:rPr>
        <w:t xml:space="preserve"> и</w:t>
      </w:r>
      <w:r w:rsidR="00361AAC" w:rsidRPr="00D40140">
        <w:rPr>
          <w:color w:val="202020"/>
          <w:shd w:val="clear" w:color="auto" w:fill="FFFFFF"/>
        </w:rPr>
        <w:t xml:space="preserve"> с помощью кремниевых выпрямителей преобразуется </w:t>
      </w:r>
      <w:proofErr w:type="gramStart"/>
      <w:r w:rsidR="00361AAC" w:rsidRPr="00D40140">
        <w:rPr>
          <w:color w:val="202020"/>
          <w:shd w:val="clear" w:color="auto" w:fill="FFFFFF"/>
        </w:rPr>
        <w:t>из</w:t>
      </w:r>
      <w:proofErr w:type="gramEnd"/>
      <w:r w:rsidR="00361AAC" w:rsidRPr="00D40140">
        <w:rPr>
          <w:color w:val="202020"/>
          <w:shd w:val="clear" w:color="auto" w:fill="FFFFFF"/>
        </w:rPr>
        <w:t xml:space="preserve"> переменного в постоянное</w:t>
      </w:r>
      <w:r w:rsidR="0027216D" w:rsidRPr="00D40140">
        <w:rPr>
          <w:color w:val="202020"/>
          <w:shd w:val="clear" w:color="auto" w:fill="FFFFFF"/>
        </w:rPr>
        <w:t xml:space="preserve"> (пульсирующее)</w:t>
      </w:r>
      <w:r w:rsidR="005F16CE" w:rsidRPr="00D40140">
        <w:rPr>
          <w:color w:val="202020"/>
          <w:shd w:val="clear" w:color="auto" w:fill="FFFFFF"/>
        </w:rPr>
        <w:t>. Пульсирующее напряжение создает в тяговой сети токи гармоник</w:t>
      </w:r>
      <w:r w:rsidR="00361AAC" w:rsidRPr="00D40140">
        <w:rPr>
          <w:color w:val="202020"/>
          <w:shd w:val="clear" w:color="auto" w:fill="FFFFFF"/>
        </w:rPr>
        <w:t>.</w:t>
      </w:r>
      <w:r w:rsidR="00D536E0" w:rsidRPr="00D40140">
        <w:t xml:space="preserve"> </w:t>
      </w:r>
      <w:r w:rsidR="0027216D" w:rsidRPr="00D40140">
        <w:t>Наличие гармоник резко ухудшае</w:t>
      </w:r>
      <w:r w:rsidR="00D536E0" w:rsidRPr="00D40140">
        <w:t>т</w:t>
      </w:r>
      <w:r w:rsidR="0027216D" w:rsidRPr="00D40140">
        <w:t>, а нередко нарушае</w:t>
      </w:r>
      <w:r w:rsidR="00D536E0" w:rsidRPr="00D40140">
        <w:t>т работу радиоэлектронной аппаратуры и аппаратуры связи</w:t>
      </w:r>
      <w:r w:rsidR="0041430C" w:rsidRPr="00D40140">
        <w:t>. Для уменьшения переменной составл</w:t>
      </w:r>
      <w:r w:rsidR="000A25EF" w:rsidRPr="00D40140">
        <w:t>яющей выпрямленного напряжения</w:t>
      </w:r>
      <w:r w:rsidR="0041430C" w:rsidRPr="00D40140">
        <w:t>, между выпрямителем и нагрузкой устанавливается сгл</w:t>
      </w:r>
      <w:r w:rsidR="00E07B31" w:rsidRPr="00D40140">
        <w:t>аживающий фильтр</w:t>
      </w:r>
      <w:r w:rsidR="0041430C" w:rsidRPr="00D40140">
        <w:t xml:space="preserve">. </w:t>
      </w:r>
    </w:p>
    <w:p w14:paraId="3912F87E" w14:textId="30915B40" w:rsidR="0041430C" w:rsidRPr="00D40140" w:rsidRDefault="0041430C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140">
        <w:rPr>
          <w:rFonts w:ascii="Times New Roman" w:hAnsi="Times New Roman" w:cs="Times New Roman"/>
          <w:sz w:val="24"/>
          <w:szCs w:val="24"/>
        </w:rPr>
        <w:t>При установке на тяговых подстанциях 12- или 24-пульсовых преобразовательных агрегатов рекомендуется использовать более простые однозвенные апериодические СФ, или в некоторых случаях обойтись совсем без них.</w:t>
      </w:r>
      <w:proofErr w:type="gramEnd"/>
    </w:p>
    <w:p w14:paraId="27D3C454" w14:textId="78966057" w:rsidR="005A2D0C" w:rsidRPr="00D40140" w:rsidRDefault="005A2D0C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140">
        <w:rPr>
          <w:rFonts w:ascii="Times New Roman" w:hAnsi="Times New Roman" w:cs="Times New Roman"/>
          <w:sz w:val="24"/>
          <w:szCs w:val="24"/>
        </w:rPr>
        <w:t>Сглаживающий фильтр состоит из одного (однозвенный) ил</w:t>
      </w:r>
      <w:r w:rsidR="006B7858" w:rsidRPr="00D40140">
        <w:rPr>
          <w:rFonts w:ascii="Times New Roman" w:hAnsi="Times New Roman" w:cs="Times New Roman"/>
          <w:sz w:val="24"/>
          <w:szCs w:val="24"/>
        </w:rPr>
        <w:t xml:space="preserve">и двух (двухзвенный) реакторов, </w:t>
      </w:r>
      <w:r w:rsidRPr="00D40140">
        <w:rPr>
          <w:rFonts w:ascii="Times New Roman" w:hAnsi="Times New Roman" w:cs="Times New Roman"/>
          <w:sz w:val="24"/>
          <w:szCs w:val="24"/>
        </w:rPr>
        <w:t>включенных в минусовую шину</w:t>
      </w:r>
      <w:r w:rsidR="006B7858" w:rsidRPr="00D40140">
        <w:rPr>
          <w:rFonts w:ascii="Times New Roman" w:hAnsi="Times New Roman" w:cs="Times New Roman"/>
          <w:sz w:val="24"/>
          <w:szCs w:val="24"/>
        </w:rPr>
        <w:t xml:space="preserve">, резонансных и апериодического </w:t>
      </w:r>
      <w:r w:rsidRPr="00D40140">
        <w:rPr>
          <w:rFonts w:ascii="Times New Roman" w:hAnsi="Times New Roman" w:cs="Times New Roman"/>
          <w:sz w:val="24"/>
          <w:szCs w:val="24"/>
        </w:rPr>
        <w:t>контуров</w:t>
      </w:r>
      <w:r w:rsidR="006B7858" w:rsidRPr="00D401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1F9A18" w14:textId="0EB15CDD" w:rsidR="0041430C" w:rsidRPr="00D40140" w:rsidRDefault="005C139D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0A25EF" w:rsidRPr="00D40140">
        <w:rPr>
          <w:rFonts w:ascii="Times New Roman" w:hAnsi="Times New Roman" w:cs="Times New Roman"/>
          <w:sz w:val="24"/>
          <w:szCs w:val="24"/>
        </w:rPr>
        <w:t>р</w:t>
      </w:r>
      <w:r w:rsidR="0041430C" w:rsidRPr="00D40140">
        <w:rPr>
          <w:rFonts w:ascii="Times New Roman" w:hAnsi="Times New Roman" w:cs="Times New Roman"/>
          <w:sz w:val="24"/>
          <w:szCs w:val="24"/>
        </w:rPr>
        <w:t xml:space="preserve">еакторы выполняют на номинальное напряжение 3,3 </w:t>
      </w:r>
      <w:proofErr w:type="spellStart"/>
      <w:r w:rsidR="0041430C" w:rsidRPr="00D4014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1430C" w:rsidRPr="00D40140">
        <w:rPr>
          <w:rFonts w:ascii="Times New Roman" w:hAnsi="Times New Roman" w:cs="Times New Roman"/>
          <w:sz w:val="24"/>
          <w:szCs w:val="24"/>
        </w:rPr>
        <w:t>, номинальный ток 6500 и 3250</w:t>
      </w:r>
      <w:proofErr w:type="gramStart"/>
      <w:r w:rsidR="0041430C" w:rsidRPr="00D401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1430C" w:rsidRPr="00D40140">
        <w:rPr>
          <w:rFonts w:ascii="Times New Roman" w:hAnsi="Times New Roman" w:cs="Times New Roman"/>
          <w:sz w:val="24"/>
          <w:szCs w:val="24"/>
        </w:rPr>
        <w:t xml:space="preserve"> из блоков заводского изготовления типа РБФА-У-6500/3250.</w:t>
      </w:r>
    </w:p>
    <w:p w14:paraId="720DF8C5" w14:textId="4A7DC808" w:rsidR="000F394F" w:rsidRPr="00D40140" w:rsidRDefault="0041430C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Блок состоит из четырех секций, в секции 14 рядов, а в каждом ряду 8 витков, выполненных проводом А-240. Блок имеет 8 выводов (по 2 вывода от каждой секции), что позволяет осуществить параллельно-последовательное (смешанное) соединение секций между собой. </w:t>
      </w:r>
      <w:r w:rsidR="005A2D0C" w:rsidRPr="00D40140">
        <w:rPr>
          <w:rFonts w:ascii="Times New Roman" w:hAnsi="Times New Roman" w:cs="Times New Roman"/>
          <w:sz w:val="24"/>
          <w:szCs w:val="24"/>
        </w:rPr>
        <w:t>Индуктивность реакторов не должна зависеть от величины тока нагрузки тяговой подстанции, протекающего через реактор, поэтому он не имеет стального сердечника. Число</w:t>
      </w:r>
      <w:r w:rsidRPr="00D40140">
        <w:rPr>
          <w:rFonts w:ascii="Times New Roman" w:hAnsi="Times New Roman" w:cs="Times New Roman"/>
          <w:sz w:val="24"/>
          <w:szCs w:val="24"/>
        </w:rPr>
        <w:t xml:space="preserve"> блоков в СФ определяется тре</w:t>
      </w:r>
      <w:r w:rsidR="005A2D0C" w:rsidRPr="00D40140">
        <w:rPr>
          <w:rFonts w:ascii="Times New Roman" w:hAnsi="Times New Roman" w:cs="Times New Roman"/>
          <w:sz w:val="24"/>
          <w:szCs w:val="24"/>
        </w:rPr>
        <w:t>буемой индуктивностью реакторов</w:t>
      </w:r>
      <w:r w:rsidRPr="00D40140">
        <w:rPr>
          <w:rFonts w:ascii="Times New Roman" w:hAnsi="Times New Roman" w:cs="Times New Roman"/>
          <w:sz w:val="24"/>
          <w:szCs w:val="24"/>
        </w:rPr>
        <w:t>, необходимой для достижения необходимого значения коэффициента сглаживания.</w:t>
      </w:r>
      <w:r w:rsidR="00B10D56" w:rsidRPr="00D40140"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="00F45AFD" w:rsidRPr="00D40140">
        <w:rPr>
          <w:rFonts w:ascii="Times New Roman" w:hAnsi="Times New Roman" w:cs="Times New Roman"/>
          <w:sz w:val="24"/>
          <w:szCs w:val="24"/>
        </w:rPr>
        <w:t>сглаживающего</w:t>
      </w:r>
      <w:r w:rsidR="00B10D56" w:rsidRPr="00D40140">
        <w:rPr>
          <w:rFonts w:ascii="Times New Roman" w:hAnsi="Times New Roman" w:cs="Times New Roman"/>
          <w:sz w:val="24"/>
          <w:szCs w:val="24"/>
        </w:rPr>
        <w:t xml:space="preserve"> устройства должны обеспечивать необходимый сглаживающий эффект, иметь низкую стоимость самого оборудования и </w:t>
      </w:r>
      <w:r w:rsidR="006B7858" w:rsidRPr="00D40140">
        <w:rPr>
          <w:rFonts w:ascii="Times New Roman" w:hAnsi="Times New Roman" w:cs="Times New Roman"/>
          <w:sz w:val="24"/>
          <w:szCs w:val="24"/>
        </w:rPr>
        <w:t>стоимость</w:t>
      </w:r>
      <w:r w:rsidR="00B10D56" w:rsidRPr="00D40140">
        <w:rPr>
          <w:rFonts w:ascii="Times New Roman" w:hAnsi="Times New Roman" w:cs="Times New Roman"/>
          <w:sz w:val="24"/>
          <w:szCs w:val="24"/>
        </w:rPr>
        <w:t xml:space="preserve"> эксплуатации, простоту монтажа и его обслуживания, удовлетворять требованиям электромагнитной совместимости и экологическим требованиям</w:t>
      </w:r>
      <w:r w:rsidR="00F45AFD" w:rsidRPr="00D40140">
        <w:rPr>
          <w:rFonts w:ascii="Times New Roman" w:hAnsi="Times New Roman" w:cs="Times New Roman"/>
          <w:sz w:val="24"/>
          <w:szCs w:val="24"/>
        </w:rPr>
        <w:t>. В силу технического устаревания не все элементы сглаживающего устройства могут в полной мере удовлетворять этим требованиям, поэтому необходима планомерная замена</w:t>
      </w:r>
      <w:r w:rsidR="006B7858" w:rsidRPr="00D40140">
        <w:rPr>
          <w:rFonts w:ascii="Times New Roman" w:hAnsi="Times New Roman" w:cs="Times New Roman"/>
          <w:sz w:val="24"/>
          <w:szCs w:val="24"/>
        </w:rPr>
        <w:t xml:space="preserve"> устаревшего оборудовании </w:t>
      </w:r>
      <w:r w:rsidR="006B7858" w:rsidRPr="00D40140">
        <w:rPr>
          <w:rFonts w:ascii="Times New Roman" w:hAnsi="Times New Roman" w:cs="Times New Roman"/>
          <w:sz w:val="24"/>
          <w:szCs w:val="24"/>
        </w:rPr>
        <w:lastRenderedPageBreak/>
        <w:t>новым</w:t>
      </w:r>
      <w:r w:rsidR="00F45AFD" w:rsidRPr="00D40140">
        <w:rPr>
          <w:rFonts w:ascii="Times New Roman" w:hAnsi="Times New Roman" w:cs="Times New Roman"/>
          <w:sz w:val="24"/>
          <w:szCs w:val="24"/>
        </w:rPr>
        <w:t xml:space="preserve">. К такому оборудованию можно отнести современный сглаживающий реактор РЖФА-6500, который имеет не только пониженное омическое сопротивление в 0,0015 Ом, но и меньшую </w:t>
      </w:r>
      <w:r w:rsidR="000F394F" w:rsidRPr="00D40140">
        <w:rPr>
          <w:rFonts w:ascii="Times New Roman" w:hAnsi="Times New Roman" w:cs="Times New Roman"/>
          <w:sz w:val="24"/>
          <w:szCs w:val="24"/>
        </w:rPr>
        <w:t>стоимость</w:t>
      </w:r>
      <w:r w:rsidR="00F45AFD" w:rsidRPr="00D40140">
        <w:rPr>
          <w:rFonts w:ascii="Times New Roman" w:hAnsi="Times New Roman" w:cs="Times New Roman"/>
          <w:sz w:val="24"/>
          <w:szCs w:val="24"/>
        </w:rPr>
        <w:t xml:space="preserve"> по сравнению с другими подобными реакторами из-за снижения ма</w:t>
      </w:r>
      <w:r w:rsidR="000F394F" w:rsidRPr="00D40140">
        <w:rPr>
          <w:rFonts w:ascii="Times New Roman" w:hAnsi="Times New Roman" w:cs="Times New Roman"/>
          <w:sz w:val="24"/>
          <w:szCs w:val="24"/>
        </w:rPr>
        <w:t>ссы цветных металлов при его производстве. Ниже приведена сравнительная характеристика реакторов РБФА-У-6500/3250 и РЖФА-6500.</w:t>
      </w:r>
    </w:p>
    <w:p w14:paraId="105CB49B" w14:textId="77777777" w:rsidR="005A2D0C" w:rsidRPr="00D40140" w:rsidRDefault="005A2D0C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950BC" w14:textId="5A86AE89" w:rsidR="00172AED" w:rsidRPr="00D40140" w:rsidRDefault="000F394F" w:rsidP="00D40140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>Таблица 1 -</w:t>
      </w:r>
      <w:r w:rsidRPr="00D40140">
        <w:rPr>
          <w:rFonts w:ascii="Times New Roman" w:hAnsi="Times New Roman" w:cs="Times New Roman"/>
          <w:sz w:val="24"/>
          <w:szCs w:val="24"/>
        </w:rPr>
        <w:tab/>
      </w:r>
      <w:r w:rsidR="00172AED" w:rsidRPr="00D40140">
        <w:rPr>
          <w:rFonts w:ascii="Times New Roman" w:hAnsi="Times New Roman" w:cs="Times New Roman"/>
          <w:sz w:val="24"/>
          <w:szCs w:val="24"/>
        </w:rPr>
        <w:t>Сравнительная характеристика реакторов</w:t>
      </w:r>
      <w:r w:rsidR="002E7BD8" w:rsidRPr="00D40140">
        <w:rPr>
          <w:rFonts w:ascii="Times New Roman" w:hAnsi="Times New Roman" w:cs="Times New Roman"/>
          <w:sz w:val="24"/>
          <w:szCs w:val="24"/>
        </w:rPr>
        <w:t xml:space="preserve"> </w:t>
      </w:r>
      <w:r w:rsidRPr="00D40140">
        <w:rPr>
          <w:rFonts w:ascii="Times New Roman" w:hAnsi="Times New Roman" w:cs="Times New Roman"/>
          <w:sz w:val="24"/>
          <w:szCs w:val="24"/>
        </w:rPr>
        <w:t>РБФА-У-6500/3250 и РЖФА-6500</w:t>
      </w:r>
    </w:p>
    <w:p w14:paraId="61EB1F80" w14:textId="77777777" w:rsidR="00172AED" w:rsidRPr="00D40140" w:rsidRDefault="00172AED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977"/>
        <w:gridCol w:w="2693"/>
      </w:tblGrid>
      <w:tr w:rsidR="00172AED" w:rsidRPr="00D40140" w14:paraId="01929F67" w14:textId="77777777" w:rsidTr="00016E74">
        <w:tc>
          <w:tcPr>
            <w:tcW w:w="3686" w:type="dxa"/>
          </w:tcPr>
          <w:p w14:paraId="14245E39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Технические данные</w:t>
            </w:r>
          </w:p>
        </w:tc>
        <w:tc>
          <w:tcPr>
            <w:tcW w:w="2977" w:type="dxa"/>
            <w:vAlign w:val="center"/>
          </w:tcPr>
          <w:p w14:paraId="523F79B0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РБФА-У-6500/3250</w:t>
            </w:r>
          </w:p>
        </w:tc>
        <w:tc>
          <w:tcPr>
            <w:tcW w:w="2693" w:type="dxa"/>
            <w:vAlign w:val="center"/>
          </w:tcPr>
          <w:p w14:paraId="682C2BA1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РЖФА-6500</w:t>
            </w:r>
          </w:p>
        </w:tc>
      </w:tr>
      <w:tr w:rsidR="00172AED" w:rsidRPr="00D40140" w14:paraId="33D31940" w14:textId="77777777" w:rsidTr="00016E74">
        <w:tc>
          <w:tcPr>
            <w:tcW w:w="3686" w:type="dxa"/>
          </w:tcPr>
          <w:p w14:paraId="70F9D2B6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977" w:type="dxa"/>
            <w:vAlign w:val="center"/>
          </w:tcPr>
          <w:p w14:paraId="3B1574F9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693" w:type="dxa"/>
            <w:vAlign w:val="center"/>
          </w:tcPr>
          <w:p w14:paraId="41354634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72AED" w:rsidRPr="00D40140" w14:paraId="59B9078B" w14:textId="77777777" w:rsidTr="00016E74">
        <w:tc>
          <w:tcPr>
            <w:tcW w:w="3686" w:type="dxa"/>
          </w:tcPr>
          <w:p w14:paraId="447C765B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  <w:tc>
          <w:tcPr>
            <w:tcW w:w="2977" w:type="dxa"/>
            <w:vAlign w:val="center"/>
          </w:tcPr>
          <w:p w14:paraId="75D54D2F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6500/3250</w:t>
            </w:r>
          </w:p>
        </w:tc>
        <w:tc>
          <w:tcPr>
            <w:tcW w:w="2693" w:type="dxa"/>
            <w:vAlign w:val="center"/>
          </w:tcPr>
          <w:p w14:paraId="12FEF2E5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172AED" w:rsidRPr="00D40140" w14:paraId="13CD43D0" w14:textId="77777777" w:rsidTr="00016E74">
        <w:tc>
          <w:tcPr>
            <w:tcW w:w="3686" w:type="dxa"/>
          </w:tcPr>
          <w:p w14:paraId="2A633CDC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 xml:space="preserve">Индуктивность, </w:t>
            </w:r>
            <w:proofErr w:type="spell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2977" w:type="dxa"/>
            <w:vAlign w:val="center"/>
          </w:tcPr>
          <w:p w14:paraId="3C2283D6" w14:textId="77777777" w:rsidR="00172AED" w:rsidRPr="00D40140" w:rsidRDefault="00172AED" w:rsidP="00D40140">
            <w:pPr>
              <w:tabs>
                <w:tab w:val="left" w:pos="2276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13288043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AED" w:rsidRPr="00D40140" w14:paraId="2BA62AD9" w14:textId="77777777" w:rsidTr="00016E74">
        <w:tc>
          <w:tcPr>
            <w:tcW w:w="3686" w:type="dxa"/>
          </w:tcPr>
          <w:p w14:paraId="44AF4240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 xml:space="preserve">Масса реактора, </w:t>
            </w:r>
            <w:proofErr w:type="gram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14:paraId="128D7A3A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2693" w:type="dxa"/>
            <w:vAlign w:val="center"/>
          </w:tcPr>
          <w:p w14:paraId="5896C8E7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72AED" w:rsidRPr="00D40140" w14:paraId="77F7CCB0" w14:textId="77777777" w:rsidTr="00016E74">
        <w:tc>
          <w:tcPr>
            <w:tcW w:w="3686" w:type="dxa"/>
          </w:tcPr>
          <w:p w14:paraId="20C69403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 xml:space="preserve">Масса провода, </w:t>
            </w:r>
            <w:proofErr w:type="gram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14:paraId="7D28EE02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2693" w:type="dxa"/>
            <w:vAlign w:val="center"/>
          </w:tcPr>
          <w:p w14:paraId="263FC867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72AED" w:rsidRPr="00D40140" w14:paraId="0706FB2B" w14:textId="77777777" w:rsidTr="00016E74">
        <w:tc>
          <w:tcPr>
            <w:tcW w:w="3686" w:type="dxa"/>
          </w:tcPr>
          <w:p w14:paraId="787481C2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Тип провода</w:t>
            </w:r>
          </w:p>
        </w:tc>
        <w:tc>
          <w:tcPr>
            <w:tcW w:w="2977" w:type="dxa"/>
            <w:vAlign w:val="center"/>
          </w:tcPr>
          <w:p w14:paraId="28A2D934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А-240</w:t>
            </w:r>
          </w:p>
        </w:tc>
        <w:tc>
          <w:tcPr>
            <w:tcW w:w="2693" w:type="dxa"/>
            <w:vAlign w:val="center"/>
          </w:tcPr>
          <w:p w14:paraId="0A735EC2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А-400</w:t>
            </w:r>
          </w:p>
        </w:tc>
      </w:tr>
      <w:tr w:rsidR="00172AED" w:rsidRPr="00D40140" w14:paraId="3FF4E4CF" w14:textId="77777777" w:rsidTr="00016E74">
        <w:tc>
          <w:tcPr>
            <w:tcW w:w="3686" w:type="dxa"/>
          </w:tcPr>
          <w:p w14:paraId="31DE470F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 xml:space="preserve">Длина провода, </w:t>
            </w:r>
            <w:proofErr w:type="gram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14:paraId="3758EB42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693" w:type="dxa"/>
            <w:vAlign w:val="center"/>
          </w:tcPr>
          <w:p w14:paraId="69461086" w14:textId="77777777" w:rsidR="00172AED" w:rsidRPr="00D40140" w:rsidRDefault="00172AED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72AED" w:rsidRPr="00D40140" w14:paraId="15F941D7" w14:textId="77777777" w:rsidTr="00016E74">
        <w:tc>
          <w:tcPr>
            <w:tcW w:w="3686" w:type="dxa"/>
          </w:tcPr>
          <w:p w14:paraId="30FAA3E7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77" w:type="dxa"/>
            <w:vAlign w:val="center"/>
          </w:tcPr>
          <w:p w14:paraId="1A6EB26E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834600</w:t>
            </w:r>
          </w:p>
        </w:tc>
        <w:tc>
          <w:tcPr>
            <w:tcW w:w="2693" w:type="dxa"/>
            <w:vAlign w:val="center"/>
          </w:tcPr>
          <w:p w14:paraId="23BFF3D0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</w:p>
        </w:tc>
      </w:tr>
      <w:tr w:rsidR="00172AED" w:rsidRPr="00D40140" w14:paraId="206280D6" w14:textId="77777777" w:rsidTr="00016E74">
        <w:tc>
          <w:tcPr>
            <w:tcW w:w="3686" w:type="dxa"/>
          </w:tcPr>
          <w:p w14:paraId="165F8F54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Потери электроэнергии в год, кВт*</w:t>
            </w:r>
            <w:proofErr w:type="gram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14:paraId="6B0A4229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499682</w:t>
            </w:r>
          </w:p>
        </w:tc>
        <w:tc>
          <w:tcPr>
            <w:tcW w:w="2693" w:type="dxa"/>
            <w:vAlign w:val="center"/>
          </w:tcPr>
          <w:p w14:paraId="03990507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79950</w:t>
            </w:r>
          </w:p>
        </w:tc>
      </w:tr>
      <w:tr w:rsidR="00172AED" w:rsidRPr="00D40140" w14:paraId="3C92DEF3" w14:textId="77777777" w:rsidTr="00016E74">
        <w:tc>
          <w:tcPr>
            <w:tcW w:w="3686" w:type="dxa"/>
          </w:tcPr>
          <w:p w14:paraId="7DF55A6B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Стоимость монтажа, раб</w:t>
            </w:r>
          </w:p>
        </w:tc>
        <w:tc>
          <w:tcPr>
            <w:tcW w:w="2977" w:type="dxa"/>
            <w:vAlign w:val="center"/>
          </w:tcPr>
          <w:p w14:paraId="489AC26B" w14:textId="20452A94" w:rsidR="00172AED" w:rsidRPr="00D40140" w:rsidRDefault="008B7F09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&lt;100000</w:t>
            </w:r>
          </w:p>
        </w:tc>
        <w:tc>
          <w:tcPr>
            <w:tcW w:w="2693" w:type="dxa"/>
            <w:vAlign w:val="center"/>
          </w:tcPr>
          <w:p w14:paraId="74214CF9" w14:textId="187F257E" w:rsidR="00172AED" w:rsidRPr="00D40140" w:rsidRDefault="008B7F09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49900</w:t>
            </w:r>
          </w:p>
        </w:tc>
      </w:tr>
      <w:tr w:rsidR="00172AED" w:rsidRPr="00D40140" w14:paraId="36258F25" w14:textId="77777777" w:rsidTr="00016E74">
        <w:tc>
          <w:tcPr>
            <w:tcW w:w="3686" w:type="dxa"/>
          </w:tcPr>
          <w:p w14:paraId="697FD8BB" w14:textId="636745D6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высота × диаметр, </w:t>
            </w:r>
            <w:proofErr w:type="gramStart"/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977" w:type="dxa"/>
            <w:vAlign w:val="center"/>
          </w:tcPr>
          <w:p w14:paraId="68AA7092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3200×2500</w:t>
            </w:r>
          </w:p>
        </w:tc>
        <w:tc>
          <w:tcPr>
            <w:tcW w:w="2693" w:type="dxa"/>
            <w:vAlign w:val="center"/>
          </w:tcPr>
          <w:p w14:paraId="6DAD8DCB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2200×1300</w:t>
            </w:r>
          </w:p>
        </w:tc>
      </w:tr>
      <w:tr w:rsidR="00172AED" w:rsidRPr="00D40140" w14:paraId="5178EDB5" w14:textId="77777777" w:rsidTr="00016E74">
        <w:tc>
          <w:tcPr>
            <w:tcW w:w="3686" w:type="dxa"/>
          </w:tcPr>
          <w:p w14:paraId="59F15595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Резистентность к коротким замыканиям в сети</w:t>
            </w:r>
          </w:p>
        </w:tc>
        <w:tc>
          <w:tcPr>
            <w:tcW w:w="2977" w:type="dxa"/>
            <w:vAlign w:val="center"/>
          </w:tcPr>
          <w:p w14:paraId="1A6D187D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14:paraId="66512157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2AED" w:rsidRPr="00D40140" w14:paraId="52C65228" w14:textId="77777777" w:rsidTr="00016E74">
        <w:tc>
          <w:tcPr>
            <w:tcW w:w="3686" w:type="dxa"/>
          </w:tcPr>
          <w:p w14:paraId="27441032" w14:textId="77777777" w:rsidR="00172AED" w:rsidRPr="00D40140" w:rsidRDefault="00172AED" w:rsidP="00D4014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надежности контактной сети</w:t>
            </w:r>
          </w:p>
        </w:tc>
        <w:tc>
          <w:tcPr>
            <w:tcW w:w="2977" w:type="dxa"/>
            <w:vAlign w:val="center"/>
          </w:tcPr>
          <w:p w14:paraId="792E2707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14:paraId="7A9C21B7" w14:textId="77777777" w:rsidR="00172AED" w:rsidRPr="00D40140" w:rsidRDefault="00995D15" w:rsidP="00D40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BEF25F0" w14:textId="77777777" w:rsidR="00016E74" w:rsidRPr="00D40140" w:rsidRDefault="00016E74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9B87A" w14:textId="6491B989" w:rsidR="00124D12" w:rsidRPr="00D40140" w:rsidRDefault="00124D12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Индуктивность реактора и его габаритные размеры зависят от наличия в нем </w:t>
      </w:r>
      <w:proofErr w:type="spellStart"/>
      <w:r w:rsidRPr="00D40140">
        <w:rPr>
          <w:rFonts w:ascii="Times New Roman" w:hAnsi="Times New Roman" w:cs="Times New Roman"/>
          <w:sz w:val="24"/>
          <w:szCs w:val="24"/>
        </w:rPr>
        <w:t>ферромагнитного</w:t>
      </w:r>
      <w:proofErr w:type="spellEnd"/>
      <w:r w:rsidRPr="00D40140">
        <w:rPr>
          <w:rFonts w:ascii="Times New Roman" w:hAnsi="Times New Roman" w:cs="Times New Roman"/>
          <w:sz w:val="24"/>
          <w:szCs w:val="24"/>
        </w:rPr>
        <w:t xml:space="preserve"> сердечника. </w:t>
      </w:r>
      <w:r w:rsidR="00886031" w:rsidRPr="00D40140">
        <w:rPr>
          <w:rFonts w:ascii="Times New Roman" w:hAnsi="Times New Roman" w:cs="Times New Roman"/>
          <w:sz w:val="24"/>
          <w:szCs w:val="24"/>
        </w:rPr>
        <w:t>Для получения требуемой индуктивности п</w:t>
      </w:r>
      <w:r w:rsidRPr="00D40140">
        <w:rPr>
          <w:rFonts w:ascii="Times New Roman" w:hAnsi="Times New Roman" w:cs="Times New Roman"/>
          <w:sz w:val="24"/>
          <w:szCs w:val="24"/>
        </w:rPr>
        <w:t>ри отсутствии сердечника реактор должен иметь катушку значительного диаметра и с большим числом витков. Реакторы без сердечника</w:t>
      </w:r>
      <w:r w:rsidR="00886031" w:rsidRPr="00D40140">
        <w:rPr>
          <w:rFonts w:ascii="Times New Roman" w:hAnsi="Times New Roman" w:cs="Times New Roman"/>
          <w:sz w:val="24"/>
          <w:szCs w:val="24"/>
        </w:rPr>
        <w:t xml:space="preserve"> имеют большие габариты и массу, что приводит к большому расходу цветных металлов при их производстве. </w:t>
      </w:r>
    </w:p>
    <w:p w14:paraId="28870E3E" w14:textId="7A13831F" w:rsidR="00124D12" w:rsidRPr="00D40140" w:rsidRDefault="00124D12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Однако выполнять реактор с замкнутым стальным сердечником, как у трансформатора, нецелесообразно, так как протекающая по его катушке постоянная составляющая тока вызвала бы при больших нагрузках сильное насыщение сердечника и снижение индуктивности реактора. Поэтому магнитную систему сглаживающего </w:t>
      </w:r>
      <w:r w:rsidR="000C21F0" w:rsidRPr="00D40140">
        <w:rPr>
          <w:rFonts w:ascii="Times New Roman" w:hAnsi="Times New Roman" w:cs="Times New Roman"/>
          <w:sz w:val="24"/>
          <w:szCs w:val="24"/>
        </w:rPr>
        <w:t>реактора рассчитывают</w:t>
      </w:r>
      <w:r w:rsidRPr="00D40140">
        <w:rPr>
          <w:rFonts w:ascii="Times New Roman" w:hAnsi="Times New Roman" w:cs="Times New Roman"/>
          <w:sz w:val="24"/>
          <w:szCs w:val="24"/>
        </w:rPr>
        <w:t xml:space="preserve"> так, чтобы она не насыщалась от постоянной составляющей тока. Для этой цели </w:t>
      </w:r>
      <w:proofErr w:type="spellStart"/>
      <w:r w:rsidRPr="00D40140">
        <w:rPr>
          <w:rFonts w:ascii="Times New Roman" w:hAnsi="Times New Roman" w:cs="Times New Roman"/>
          <w:sz w:val="24"/>
          <w:szCs w:val="24"/>
        </w:rPr>
        <w:t>магнитопровод</w:t>
      </w:r>
      <w:proofErr w:type="spellEnd"/>
      <w:r w:rsidRPr="00D40140">
        <w:rPr>
          <w:rFonts w:ascii="Times New Roman" w:hAnsi="Times New Roman" w:cs="Times New Roman"/>
          <w:sz w:val="24"/>
          <w:szCs w:val="24"/>
        </w:rPr>
        <w:t xml:space="preserve"> реактора </w:t>
      </w:r>
      <w:r w:rsidR="000C21F0" w:rsidRPr="00D40140">
        <w:rPr>
          <w:rFonts w:ascii="Times New Roman" w:hAnsi="Times New Roman" w:cs="Times New Roman"/>
          <w:sz w:val="24"/>
          <w:szCs w:val="24"/>
        </w:rPr>
        <w:t>необходимо выполнять</w:t>
      </w:r>
      <w:r w:rsidRPr="00D40140">
        <w:rPr>
          <w:rFonts w:ascii="Times New Roman" w:hAnsi="Times New Roman" w:cs="Times New Roman"/>
          <w:sz w:val="24"/>
          <w:szCs w:val="24"/>
        </w:rPr>
        <w:t xml:space="preserve"> незамкнутым (р</w:t>
      </w:r>
      <w:r w:rsidR="000F394F" w:rsidRPr="00D40140">
        <w:rPr>
          <w:rFonts w:ascii="Times New Roman" w:hAnsi="Times New Roman" w:cs="Times New Roman"/>
          <w:sz w:val="24"/>
          <w:szCs w:val="24"/>
        </w:rPr>
        <w:t>исунок 1</w:t>
      </w:r>
      <w:r w:rsidRPr="00D40140">
        <w:rPr>
          <w:rFonts w:ascii="Times New Roman" w:hAnsi="Times New Roman" w:cs="Times New Roman"/>
          <w:sz w:val="24"/>
          <w:szCs w:val="24"/>
        </w:rPr>
        <w:t>, а) так, чтобы его магнитный поток частично проходил по воздуху, либо замкнутым, но с большими воздушными зазорами (рис</w:t>
      </w:r>
      <w:r w:rsidR="000F394F" w:rsidRPr="00D40140">
        <w:rPr>
          <w:rFonts w:ascii="Times New Roman" w:hAnsi="Times New Roman" w:cs="Times New Roman"/>
          <w:sz w:val="24"/>
          <w:szCs w:val="24"/>
        </w:rPr>
        <w:t>унок</w:t>
      </w:r>
      <w:r w:rsidRPr="00D40140">
        <w:rPr>
          <w:rFonts w:ascii="Times New Roman" w:hAnsi="Times New Roman" w:cs="Times New Roman"/>
          <w:sz w:val="24"/>
          <w:szCs w:val="24"/>
        </w:rPr>
        <w:t xml:space="preserve"> </w:t>
      </w:r>
      <w:r w:rsidR="000F394F" w:rsidRPr="00D40140">
        <w:rPr>
          <w:rFonts w:ascii="Times New Roman" w:hAnsi="Times New Roman" w:cs="Times New Roman"/>
          <w:sz w:val="24"/>
          <w:szCs w:val="24"/>
        </w:rPr>
        <w:t>1</w:t>
      </w:r>
      <w:r w:rsidRPr="00D40140">
        <w:rPr>
          <w:rFonts w:ascii="Times New Roman" w:hAnsi="Times New Roman" w:cs="Times New Roman"/>
          <w:sz w:val="24"/>
          <w:szCs w:val="24"/>
        </w:rPr>
        <w:t>, б).</w:t>
      </w:r>
    </w:p>
    <w:p w14:paraId="603A25E8" w14:textId="77777777" w:rsidR="00124D12" w:rsidRPr="00D40140" w:rsidRDefault="00124D12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Чтобы уменьшить расход меди и снизить массу </w:t>
      </w:r>
      <w:r w:rsidR="000C21F0" w:rsidRPr="00D40140">
        <w:rPr>
          <w:rFonts w:ascii="Times New Roman" w:hAnsi="Times New Roman" w:cs="Times New Roman"/>
          <w:sz w:val="24"/>
          <w:szCs w:val="24"/>
        </w:rPr>
        <w:t>и</w:t>
      </w:r>
      <w:r w:rsidRPr="00D40140">
        <w:rPr>
          <w:rFonts w:ascii="Times New Roman" w:hAnsi="Times New Roman" w:cs="Times New Roman"/>
          <w:sz w:val="24"/>
          <w:szCs w:val="24"/>
        </w:rPr>
        <w:t xml:space="preserve"> размеры реактора, его обмотку рассчитывают на повышенную плотность тока и интенсивно</w:t>
      </w:r>
      <w:r w:rsidR="000C21F0" w:rsidRPr="00D40140">
        <w:rPr>
          <w:rFonts w:ascii="Times New Roman" w:hAnsi="Times New Roman" w:cs="Times New Roman"/>
          <w:sz w:val="24"/>
          <w:szCs w:val="24"/>
        </w:rPr>
        <w:t>е охлаждение</w:t>
      </w:r>
      <w:r w:rsidRPr="00D40140">
        <w:rPr>
          <w:rFonts w:ascii="Times New Roman" w:hAnsi="Times New Roman" w:cs="Times New Roman"/>
          <w:sz w:val="24"/>
          <w:szCs w:val="24"/>
        </w:rPr>
        <w:t>.</w:t>
      </w:r>
    </w:p>
    <w:p w14:paraId="31CD16C4" w14:textId="77777777" w:rsidR="00124D12" w:rsidRPr="00D40140" w:rsidRDefault="00124D12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F1CBF" w14:textId="77777777" w:rsidR="00124D12" w:rsidRPr="00D40140" w:rsidRDefault="00124D12" w:rsidP="00D4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826C9F" wp14:editId="688DE28E">
            <wp:extent cx="2859405" cy="1955800"/>
            <wp:effectExtent l="0" t="0" r="0" b="6350"/>
            <wp:docPr id="2" name="Рисунок 2" descr="Рис. 232. Магнитная система сглаживающего реактора при разомкнутом (а) и замкнутом (б) магни-топровода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32. Магнитная система сглаживающего реактора при разомкнутом (а) и замкнутом (б) магни-топровода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E8010" w14:textId="77777777" w:rsidR="00124D12" w:rsidRPr="00D40140" w:rsidRDefault="00124D12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3B3E3" w14:textId="5C39DEA8" w:rsidR="00124D12" w:rsidRPr="00D40140" w:rsidRDefault="000F394F" w:rsidP="00D4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>Рисунок 1 -</w:t>
      </w:r>
      <w:r w:rsidR="00124D12" w:rsidRPr="00D40140">
        <w:rPr>
          <w:rFonts w:ascii="Times New Roman" w:hAnsi="Times New Roman" w:cs="Times New Roman"/>
          <w:sz w:val="24"/>
          <w:szCs w:val="24"/>
        </w:rPr>
        <w:t xml:space="preserve"> Магнитная система сглаживающего реактора при </w:t>
      </w:r>
      <w:proofErr w:type="gramStart"/>
      <w:r w:rsidR="00124D12" w:rsidRPr="00D40140">
        <w:rPr>
          <w:rFonts w:ascii="Times New Roman" w:hAnsi="Times New Roman" w:cs="Times New Roman"/>
          <w:sz w:val="24"/>
          <w:szCs w:val="24"/>
        </w:rPr>
        <w:t>разомкнутом</w:t>
      </w:r>
      <w:proofErr w:type="gramEnd"/>
      <w:r w:rsidR="00124D12" w:rsidRPr="00D40140">
        <w:rPr>
          <w:rFonts w:ascii="Times New Roman" w:hAnsi="Times New Roman" w:cs="Times New Roman"/>
          <w:sz w:val="24"/>
          <w:szCs w:val="24"/>
        </w:rPr>
        <w:t xml:space="preserve"> (а) и замкнутом (б) </w:t>
      </w:r>
      <w:proofErr w:type="spellStart"/>
      <w:r w:rsidR="00124D12" w:rsidRPr="00D40140">
        <w:rPr>
          <w:rFonts w:ascii="Times New Roman" w:hAnsi="Times New Roman" w:cs="Times New Roman"/>
          <w:sz w:val="24"/>
          <w:szCs w:val="24"/>
        </w:rPr>
        <w:t>магнитопроводах</w:t>
      </w:r>
      <w:proofErr w:type="spellEnd"/>
    </w:p>
    <w:p w14:paraId="4948EFA5" w14:textId="77777777" w:rsidR="00124D12" w:rsidRPr="00D40140" w:rsidRDefault="00124D12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E612A" w14:textId="73F51C2C" w:rsidR="005A2D0C" w:rsidRPr="00D40140" w:rsidRDefault="005A2D0C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0">
        <w:rPr>
          <w:rFonts w:ascii="Times New Roman" w:hAnsi="Times New Roman" w:cs="Times New Roman"/>
          <w:sz w:val="24"/>
          <w:szCs w:val="24"/>
        </w:rPr>
        <w:t xml:space="preserve">Реактор </w:t>
      </w:r>
      <w:proofErr w:type="spellStart"/>
      <w:r w:rsidRPr="00D40140">
        <w:rPr>
          <w:rFonts w:ascii="Times New Roman" w:hAnsi="Times New Roman" w:cs="Times New Roman"/>
          <w:sz w:val="24"/>
          <w:szCs w:val="24"/>
        </w:rPr>
        <w:t>фильтроустройства</w:t>
      </w:r>
      <w:proofErr w:type="spellEnd"/>
      <w:r w:rsidRPr="00D40140">
        <w:rPr>
          <w:rFonts w:ascii="Times New Roman" w:hAnsi="Times New Roman" w:cs="Times New Roman"/>
          <w:sz w:val="24"/>
          <w:szCs w:val="24"/>
        </w:rPr>
        <w:t xml:space="preserve"> изготавливается с использованием материалов с высокой магнитной проницаемостью. За счет использования таких материалов достигается не только заданная величина индуктивности меньшим числом ампер-витков, но и магнитный </w:t>
      </w:r>
      <w:proofErr w:type="gramStart"/>
      <w:r w:rsidRPr="00D40140">
        <w:rPr>
          <w:rFonts w:ascii="Times New Roman" w:hAnsi="Times New Roman" w:cs="Times New Roman"/>
          <w:sz w:val="24"/>
          <w:szCs w:val="24"/>
        </w:rPr>
        <w:t>поток</w:t>
      </w:r>
      <w:proofErr w:type="gramEnd"/>
      <w:r w:rsidRPr="00D40140">
        <w:rPr>
          <w:rFonts w:ascii="Times New Roman" w:hAnsi="Times New Roman" w:cs="Times New Roman"/>
          <w:sz w:val="24"/>
          <w:szCs w:val="24"/>
        </w:rPr>
        <w:t xml:space="preserve"> оказывается полностью замкнут вну</w:t>
      </w:r>
      <w:r w:rsidR="008B209A" w:rsidRPr="00D40140">
        <w:rPr>
          <w:rFonts w:ascii="Times New Roman" w:hAnsi="Times New Roman" w:cs="Times New Roman"/>
          <w:sz w:val="24"/>
          <w:szCs w:val="24"/>
        </w:rPr>
        <w:t xml:space="preserve">три магнитной системы </w:t>
      </w:r>
      <w:r w:rsidRPr="00D40140">
        <w:rPr>
          <w:rFonts w:ascii="Times New Roman" w:hAnsi="Times New Roman" w:cs="Times New Roman"/>
          <w:sz w:val="24"/>
          <w:szCs w:val="24"/>
        </w:rPr>
        <w:t>реактора. Меньшее число ампер-витков позволяет значительно снизить потери электрической энергии на внутреннем сопротивлении нового реактора, сократить объем используемых материалов, т.е. уменьшить</w:t>
      </w:r>
      <w:r w:rsidR="008B209A" w:rsidRPr="00D40140">
        <w:rPr>
          <w:rFonts w:ascii="Times New Roman" w:hAnsi="Times New Roman" w:cs="Times New Roman"/>
          <w:sz w:val="24"/>
          <w:szCs w:val="24"/>
        </w:rPr>
        <w:t xml:space="preserve"> габаритные размеры реактора и </w:t>
      </w:r>
      <w:r w:rsidRPr="00D40140">
        <w:rPr>
          <w:rFonts w:ascii="Times New Roman" w:hAnsi="Times New Roman" w:cs="Times New Roman"/>
          <w:sz w:val="24"/>
          <w:szCs w:val="24"/>
        </w:rPr>
        <w:t>придать ему новые качества по электромагнитной совместимости при прочих равных условиях.</w:t>
      </w:r>
      <w:r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 При номинальном токе в реакторе РЖФА-6500 магнитное поле рассеяния практически полностью экранируется его металлическими конструкционными элементами. К</w:t>
      </w:r>
      <w:r w:rsidRPr="00D4014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артина электромагнитного поля представлена различной цветовой гаммой, где каждый из её оттенков соответствует определённой ве</w:t>
      </w:r>
      <w:r w:rsidR="00994CE8" w:rsidRPr="00D4014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личине индукции магнитного поля</w:t>
      </w:r>
      <w:r w:rsidRPr="00D4014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94CE8" w:rsidRPr="00D4014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(р</w:t>
      </w:r>
      <w:r w:rsidR="00567430" w:rsidRPr="00D4014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исунок 2</w:t>
      </w:r>
      <w:r w:rsidR="00994CE8" w:rsidRPr="00D4014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)</w:t>
      </w:r>
      <w:r w:rsidRPr="00D4014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3E824207" w14:textId="77777777" w:rsidR="00552BED" w:rsidRPr="00D40140" w:rsidRDefault="00552BED" w:rsidP="00D40140">
      <w:pPr>
        <w:pStyle w:val="a8"/>
        <w:ind w:firstLine="709"/>
        <w:rPr>
          <w:szCs w:val="24"/>
        </w:rPr>
      </w:pPr>
    </w:p>
    <w:p w14:paraId="262BE21B" w14:textId="77777777" w:rsidR="005A2D0C" w:rsidRPr="00D40140" w:rsidRDefault="005A2D0C" w:rsidP="00D40140">
      <w:pPr>
        <w:pStyle w:val="a8"/>
        <w:ind w:firstLine="709"/>
        <w:jc w:val="center"/>
        <w:rPr>
          <w:szCs w:val="24"/>
        </w:rPr>
      </w:pPr>
      <w:r w:rsidRPr="00D40140">
        <w:rPr>
          <w:noProof/>
          <w:szCs w:val="24"/>
          <w:lang w:eastAsia="ru-RU"/>
        </w:rPr>
        <w:drawing>
          <wp:inline distT="0" distB="0" distL="0" distR="0" wp14:anchorId="263956C7" wp14:editId="00C2C712">
            <wp:extent cx="3657600" cy="3657600"/>
            <wp:effectExtent l="0" t="0" r="0" b="0"/>
            <wp:docPr id="4" name="Рисунок 16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66" cy="367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DFE4C" w14:textId="77777777" w:rsidR="00552BED" w:rsidRPr="00D40140" w:rsidRDefault="00552BED" w:rsidP="00D40140">
      <w:pPr>
        <w:pStyle w:val="a8"/>
        <w:ind w:firstLine="709"/>
        <w:rPr>
          <w:szCs w:val="24"/>
        </w:rPr>
      </w:pPr>
    </w:p>
    <w:p w14:paraId="6E61974D" w14:textId="4917B6F2" w:rsidR="005A2D0C" w:rsidRPr="00D40140" w:rsidRDefault="005A2D0C" w:rsidP="00D40140">
      <w:pPr>
        <w:pStyle w:val="a8"/>
        <w:ind w:firstLine="709"/>
        <w:rPr>
          <w:szCs w:val="24"/>
          <w:lang w:eastAsia="ru-RU"/>
        </w:rPr>
      </w:pPr>
      <w:r w:rsidRPr="00D40140">
        <w:rPr>
          <w:szCs w:val="24"/>
        </w:rPr>
        <w:t>Р</w:t>
      </w:r>
      <w:r w:rsidR="00567430" w:rsidRPr="00D40140">
        <w:rPr>
          <w:szCs w:val="24"/>
        </w:rPr>
        <w:t>исунок 2</w:t>
      </w:r>
      <w:r w:rsidR="00994CE8" w:rsidRPr="00D40140">
        <w:rPr>
          <w:szCs w:val="24"/>
        </w:rPr>
        <w:t xml:space="preserve"> -</w:t>
      </w:r>
      <w:r w:rsidRPr="00D40140">
        <w:rPr>
          <w:szCs w:val="24"/>
        </w:rPr>
        <w:t xml:space="preserve"> </w:t>
      </w:r>
      <w:r w:rsidRPr="00D40140">
        <w:rPr>
          <w:szCs w:val="24"/>
          <w:lang w:eastAsia="ru-RU"/>
        </w:rPr>
        <w:t>Реактор РЖФА-6500 при протекании через него тока 5000А</w:t>
      </w:r>
    </w:p>
    <w:p w14:paraId="30F6622E" w14:textId="77777777" w:rsidR="000C21F0" w:rsidRPr="00D40140" w:rsidRDefault="000C21F0" w:rsidP="00D40140">
      <w:pPr>
        <w:pStyle w:val="a8"/>
        <w:ind w:firstLine="709"/>
        <w:rPr>
          <w:szCs w:val="24"/>
          <w:lang w:eastAsia="ru-RU"/>
        </w:rPr>
      </w:pPr>
    </w:p>
    <w:p w14:paraId="77214644" w14:textId="77777777" w:rsidR="005A2D0C" w:rsidRPr="00D40140" w:rsidRDefault="005A2D0C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1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Экранирующее электромагнитное поле рассеяния благоприятно, как с точки зрения размещения в непосредственной близости с ним систем автоматики и шкафов с другой электронной аппаратурой, так и с точки зрения снижения электромагнитного загрязнения окружающей среды.</w:t>
      </w:r>
    </w:p>
    <w:p w14:paraId="1D46BB6C" w14:textId="1B4A1510" w:rsidR="00567430" w:rsidRPr="00D40140" w:rsidRDefault="000E355B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B42CC" w:rsidRPr="00D40140">
        <w:rPr>
          <w:rFonts w:ascii="Times New Roman" w:hAnsi="Times New Roman" w:cs="Times New Roman"/>
          <w:sz w:val="24"/>
          <w:szCs w:val="24"/>
          <w:lang w:eastAsia="ru-RU"/>
        </w:rPr>
        <w:t>одернизация</w:t>
      </w:r>
      <w:r w:rsidR="00751C3E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и внедрение инновационных технологий </w:t>
      </w:r>
      <w:r w:rsidR="005D597A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spellStart"/>
      <w:r w:rsidR="005D597A" w:rsidRPr="00D40140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5D597A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C3E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</w:t>
      </w:r>
      <w:r w:rsidR="00BB42CC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существенно сэкономить финансовые средства предприятия на </w:t>
      </w:r>
      <w:r w:rsidR="000E68ED" w:rsidRPr="00D40140">
        <w:rPr>
          <w:rFonts w:ascii="Times New Roman" w:hAnsi="Times New Roman" w:cs="Times New Roman"/>
          <w:sz w:val="24"/>
          <w:szCs w:val="24"/>
          <w:lang w:eastAsia="ru-RU"/>
        </w:rPr>
        <w:t>его обслуживании и эксплуатации. Зам</w:t>
      </w:r>
      <w:r w:rsidR="005D597A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ена реакторов тяговых </w:t>
      </w:r>
      <w:proofErr w:type="gramStart"/>
      <w:r w:rsidR="005D597A" w:rsidRPr="00D40140">
        <w:rPr>
          <w:rFonts w:ascii="Times New Roman" w:hAnsi="Times New Roman" w:cs="Times New Roman"/>
          <w:sz w:val="24"/>
          <w:szCs w:val="24"/>
          <w:lang w:eastAsia="ru-RU"/>
        </w:rPr>
        <w:t>подстанциях</w:t>
      </w:r>
      <w:proofErr w:type="gramEnd"/>
      <w:r w:rsidR="000E68ED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 на РЖФА-6500</w:t>
      </w:r>
      <w:r w:rsidR="00971561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существенно сократить потерю мощности в цепи сглаживающего устройства</w:t>
      </w:r>
      <w:r w:rsidR="005D597A" w:rsidRPr="00D40140">
        <w:rPr>
          <w:rFonts w:ascii="Times New Roman" w:hAnsi="Times New Roman" w:cs="Times New Roman"/>
          <w:sz w:val="24"/>
          <w:szCs w:val="24"/>
          <w:lang w:eastAsia="ru-RU"/>
        </w:rPr>
        <w:t>, сократить площадь реакторных</w:t>
      </w:r>
      <w:r w:rsidR="00971561" w:rsidRPr="00D40140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и улучшить условия электромагнитной совместимости вблизи места установки реактора.</w:t>
      </w:r>
    </w:p>
    <w:p w14:paraId="6918B123" w14:textId="77777777" w:rsidR="00F41A1E" w:rsidRPr="00D40140" w:rsidRDefault="00F41A1E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26A690" w14:textId="77777777" w:rsidR="00F41A1E" w:rsidRPr="00D40140" w:rsidRDefault="00F41A1E" w:rsidP="00D4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01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</w:t>
      </w:r>
    </w:p>
    <w:p w14:paraId="65D0A512" w14:textId="77777777" w:rsidR="00F41A1E" w:rsidRPr="00D40140" w:rsidRDefault="00F41A1E" w:rsidP="00D40140">
      <w:pPr>
        <w:numPr>
          <w:ilvl w:val="0"/>
          <w:numId w:val="2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П. Электромагнитная совместимость / Учебник для вузов железнодорожного транспорта – М.: УМК МПС, 2002 – 638 с.</w:t>
      </w:r>
    </w:p>
    <w:p w14:paraId="10599DAD" w14:textId="77777777" w:rsidR="00F41A1E" w:rsidRPr="00D40140" w:rsidRDefault="00F41A1E" w:rsidP="00D40140">
      <w:pPr>
        <w:numPr>
          <w:ilvl w:val="0"/>
          <w:numId w:val="2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Почаевец</w:t>
      </w:r>
      <w:proofErr w:type="spell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Электрические подстанции: Учеб. Для техникумов и колледжей ж.-д. </w:t>
      </w:r>
      <w:proofErr w:type="spellStart"/>
      <w:proofErr w:type="gram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proofErr w:type="spellEnd"/>
      <w:proofErr w:type="gram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Желдориздат</w:t>
      </w:r>
      <w:proofErr w:type="spell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512 с.</w:t>
      </w:r>
    </w:p>
    <w:p w14:paraId="5902BA8E" w14:textId="77777777" w:rsidR="00F41A1E" w:rsidRPr="00D40140" w:rsidRDefault="00F41A1E" w:rsidP="00D40140">
      <w:pPr>
        <w:numPr>
          <w:ilvl w:val="0"/>
          <w:numId w:val="2"/>
        </w:numPr>
        <w:spacing w:after="0" w:line="240" w:lineRule="auto"/>
        <w:ind w:left="284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 ОАО "РЖД" от 11.02.2008 № 269р </w:t>
      </w:r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энергетической стратегии ОАО "РЖД" на период до 2010 года и на перспективу до 2030 года" - </w:t>
      </w:r>
      <w:hyperlink r:id="rId10" w:history="1">
        <w:r w:rsidRPr="00D401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http://doc.rzd.ru/doc/public/ru?STRUCTURE_ID=704&amp;layer_id=510</w:t>
        </w:r>
      </w:hyperlink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4&amp;id=4043</w:t>
      </w:r>
    </w:p>
    <w:p w14:paraId="58BBC914" w14:textId="77777777" w:rsidR="00F41A1E" w:rsidRPr="00D40140" w:rsidRDefault="00F41A1E" w:rsidP="00D40140">
      <w:pPr>
        <w:numPr>
          <w:ilvl w:val="0"/>
          <w:numId w:val="2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Имаи</w:t>
      </w:r>
      <w:proofErr w:type="spell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Гемба</w:t>
      </w:r>
      <w:proofErr w:type="spell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</w:t>
      </w:r>
      <w:proofErr w:type="spell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Путь к снижению затрат и повышению качества</w:t>
      </w:r>
      <w:proofErr w:type="gramStart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40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англ. — М.: Альпина Бизнес Букс, 2005.</w:t>
      </w:r>
    </w:p>
    <w:p w14:paraId="7350797B" w14:textId="77777777" w:rsidR="00F41A1E" w:rsidRPr="00D40140" w:rsidRDefault="00F41A1E" w:rsidP="00D4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41A1E" w:rsidRPr="00D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5AE"/>
    <w:multiLevelType w:val="hybridMultilevel"/>
    <w:tmpl w:val="81F87078"/>
    <w:lvl w:ilvl="0" w:tplc="42A88172">
      <w:start w:val="1"/>
      <w:numFmt w:val="decimal"/>
      <w:lvlText w:val="%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E21976"/>
    <w:multiLevelType w:val="multilevel"/>
    <w:tmpl w:val="CFC8D2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28"/>
    <w:rsid w:val="00016E74"/>
    <w:rsid w:val="000228F5"/>
    <w:rsid w:val="000A25EF"/>
    <w:rsid w:val="000C21F0"/>
    <w:rsid w:val="000C7FBB"/>
    <w:rsid w:val="000E355B"/>
    <w:rsid w:val="000E68ED"/>
    <w:rsid w:val="000F394F"/>
    <w:rsid w:val="0010186F"/>
    <w:rsid w:val="00124D12"/>
    <w:rsid w:val="00144738"/>
    <w:rsid w:val="00172AED"/>
    <w:rsid w:val="0017407D"/>
    <w:rsid w:val="0027216D"/>
    <w:rsid w:val="00285E31"/>
    <w:rsid w:val="002E226B"/>
    <w:rsid w:val="002E7BD8"/>
    <w:rsid w:val="00330907"/>
    <w:rsid w:val="00361AAC"/>
    <w:rsid w:val="003740F0"/>
    <w:rsid w:val="003A10F9"/>
    <w:rsid w:val="003B0C51"/>
    <w:rsid w:val="0041430C"/>
    <w:rsid w:val="00485593"/>
    <w:rsid w:val="00552BED"/>
    <w:rsid w:val="00567430"/>
    <w:rsid w:val="005A2D0C"/>
    <w:rsid w:val="005C139D"/>
    <w:rsid w:val="005D597A"/>
    <w:rsid w:val="005F16CE"/>
    <w:rsid w:val="0068758B"/>
    <w:rsid w:val="006B7858"/>
    <w:rsid w:val="006D4134"/>
    <w:rsid w:val="00751C3E"/>
    <w:rsid w:val="00771665"/>
    <w:rsid w:val="00786848"/>
    <w:rsid w:val="00791BAB"/>
    <w:rsid w:val="007C7828"/>
    <w:rsid w:val="00873883"/>
    <w:rsid w:val="00886031"/>
    <w:rsid w:val="008B209A"/>
    <w:rsid w:val="008B7F09"/>
    <w:rsid w:val="008D2BAE"/>
    <w:rsid w:val="00971561"/>
    <w:rsid w:val="00994CE8"/>
    <w:rsid w:val="00995D15"/>
    <w:rsid w:val="00A63DB8"/>
    <w:rsid w:val="00A729D9"/>
    <w:rsid w:val="00AF78D6"/>
    <w:rsid w:val="00B10D56"/>
    <w:rsid w:val="00B3246E"/>
    <w:rsid w:val="00BB42CC"/>
    <w:rsid w:val="00D13A6C"/>
    <w:rsid w:val="00D40140"/>
    <w:rsid w:val="00D536E0"/>
    <w:rsid w:val="00E02FCF"/>
    <w:rsid w:val="00E07B31"/>
    <w:rsid w:val="00E44B26"/>
    <w:rsid w:val="00E83D55"/>
    <w:rsid w:val="00EA6AA0"/>
    <w:rsid w:val="00EB1BFE"/>
    <w:rsid w:val="00ED7511"/>
    <w:rsid w:val="00F41A1E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43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30C"/>
  </w:style>
  <w:style w:type="character" w:styleId="a6">
    <w:name w:val="FollowedHyperlink"/>
    <w:basedOn w:val="a0"/>
    <w:uiPriority w:val="99"/>
    <w:semiHidden/>
    <w:unhideWhenUsed/>
    <w:rsid w:val="00D536E0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17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link w:val="a9"/>
    <w:rsid w:val="005A2D0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2D0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6D41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41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41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41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413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D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43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30C"/>
  </w:style>
  <w:style w:type="character" w:styleId="a6">
    <w:name w:val="FollowedHyperlink"/>
    <w:basedOn w:val="a0"/>
    <w:uiPriority w:val="99"/>
    <w:semiHidden/>
    <w:unhideWhenUsed/>
    <w:rsid w:val="00D536E0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17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link w:val="a9"/>
    <w:rsid w:val="005A2D0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2D0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6D41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41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41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41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413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D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electrono.ru/wp-content/uploads/2010/08/66-1-28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3%D0%BB%D0%B0%D0%B6%D0%B8%D0%B2%D0%B0%D1%8E%D1%89%D0%B8%D0%B9_%D1%84%D0%B8%D0%BB%D1%8C%D1%82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.rzd.ru/doc/public/ru?STRUCTURE_ID=704&amp;layer_id=5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AcademeG</dc:creator>
  <cp:keywords/>
  <dc:description/>
  <cp:lastModifiedBy>Makaeva</cp:lastModifiedBy>
  <cp:revision>25</cp:revision>
  <dcterms:created xsi:type="dcterms:W3CDTF">2017-05-04T04:50:00Z</dcterms:created>
  <dcterms:modified xsi:type="dcterms:W3CDTF">2017-05-25T07:37:00Z</dcterms:modified>
</cp:coreProperties>
</file>