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0A" w:rsidRPr="00390A9D" w:rsidRDefault="00BF3E0A" w:rsidP="0050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9D">
        <w:rPr>
          <w:rFonts w:ascii="Times New Roman" w:hAnsi="Times New Roman" w:cs="Times New Roman"/>
          <w:b/>
          <w:sz w:val="24"/>
          <w:szCs w:val="24"/>
        </w:rPr>
        <w:t>Внедрение концептуальных позиций групповых технологий и форм обучения в рамках преподавания предмета «Биология».</w:t>
      </w:r>
    </w:p>
    <w:p w:rsidR="00F34AA5" w:rsidRPr="00390A9D" w:rsidRDefault="00BF3E0A" w:rsidP="006D47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 xml:space="preserve">Кравченко Татьяна Юрьевна, </w:t>
      </w:r>
    </w:p>
    <w:p w:rsidR="00BF3E0A" w:rsidRPr="00390A9D" w:rsidRDefault="00BF3E0A" w:rsidP="006D47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преподаватель биологии и химии</w:t>
      </w:r>
    </w:p>
    <w:p w:rsidR="006D476B" w:rsidRDefault="00BF3E0A" w:rsidP="006D47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</w:t>
      </w:r>
    </w:p>
    <w:p w:rsidR="00BF3E0A" w:rsidRPr="00390A9D" w:rsidRDefault="00BF3E0A" w:rsidP="006D47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 xml:space="preserve"> образовательное учреждение </w:t>
      </w:r>
    </w:p>
    <w:p w:rsidR="00BF3E0A" w:rsidRPr="00390A9D" w:rsidRDefault="00BF3E0A" w:rsidP="006D47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«Профессиональное училище №3»</w:t>
      </w:r>
    </w:p>
    <w:p w:rsidR="00F34AA5" w:rsidRPr="00390A9D" w:rsidRDefault="00F34AA5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AA5" w:rsidRPr="00390A9D" w:rsidRDefault="00F34AA5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 xml:space="preserve"> « Усвоение  понятий - процесс творческий, продуктивный.</w:t>
      </w:r>
      <w:r w:rsidRPr="00390A9D">
        <w:rPr>
          <w:rFonts w:ascii="Times New Roman" w:hAnsi="Times New Roman" w:cs="Times New Roman"/>
          <w:i/>
          <w:sz w:val="24"/>
          <w:szCs w:val="24"/>
        </w:rPr>
        <w:br/>
        <w:t>Необходимость  функционального  употребления  появляется только тогда, когда  среда  ставит  соответствующие  цели,  задачи,  выдвигает новые</w:t>
      </w:r>
      <w:r w:rsidRPr="00390A9D">
        <w:rPr>
          <w:rFonts w:ascii="Times New Roman" w:hAnsi="Times New Roman" w:cs="Times New Roman"/>
          <w:i/>
          <w:sz w:val="24"/>
          <w:szCs w:val="24"/>
        </w:rPr>
        <w:br/>
        <w:t>требования, стимулирующие развитие интеллекта».</w:t>
      </w:r>
    </w:p>
    <w:p w:rsidR="00F34AA5" w:rsidRPr="00390A9D" w:rsidRDefault="00F34AA5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Л.С. Выготский</w:t>
      </w:r>
    </w:p>
    <w:p w:rsidR="00F34AA5" w:rsidRPr="00390A9D" w:rsidRDefault="00F34AA5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E0A" w:rsidRPr="00390A9D" w:rsidRDefault="00BF3E0A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Исследования педагогов-психологов последних лет доказывают:</w:t>
      </w:r>
    </w:p>
    <w:p w:rsidR="00BF3E0A" w:rsidRPr="00390A9D" w:rsidRDefault="00BF3E0A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 наиболее значимыми для студентов являются коллективная деятельность и мнение сверстников;</w:t>
      </w:r>
    </w:p>
    <w:p w:rsidR="00BF3E0A" w:rsidRPr="00390A9D" w:rsidRDefault="00BF3E0A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-от учения как функции запоминания необходим переход к учению как процессу умственного развития, позволяющему использовать усвоение и анализировать;</w:t>
      </w:r>
    </w:p>
    <w:p w:rsidR="00BF3E0A" w:rsidRPr="00390A9D" w:rsidRDefault="00BF3E0A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 необходим переход от ориентации на усреднённого студента к дифференцированным и индивидуализированным программам обучения;</w:t>
      </w:r>
    </w:p>
    <w:p w:rsidR="00BF3E0A" w:rsidRPr="00390A9D" w:rsidRDefault="00BF3E0A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 качество усвоения материала зависит от методики проведения занятия, выбранной педагогом.</w:t>
      </w:r>
    </w:p>
    <w:p w:rsidR="00B016F6" w:rsidRPr="00390A9D" w:rsidRDefault="00B016F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r w:rsidR="00F34AA5" w:rsidRPr="00390A9D">
        <w:rPr>
          <w:rFonts w:ascii="Times New Roman" w:hAnsi="Times New Roman" w:cs="Times New Roman"/>
          <w:sz w:val="24"/>
          <w:szCs w:val="24"/>
        </w:rPr>
        <w:t>данных</w:t>
      </w:r>
      <w:r w:rsidRPr="00390A9D">
        <w:rPr>
          <w:rFonts w:ascii="Times New Roman" w:hAnsi="Times New Roman" w:cs="Times New Roman"/>
          <w:sz w:val="24"/>
          <w:szCs w:val="24"/>
        </w:rPr>
        <w:t xml:space="preserve"> аспектах, я сформулировала педагогическую идею:</w:t>
      </w:r>
    </w:p>
    <w:p w:rsidR="00B016F6" w:rsidRPr="00390A9D" w:rsidRDefault="00B016F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-Разработка  комплекса педагогических условий, обеспечивающих эффективное развитие интеллектуальной коммуникации студентов. </w:t>
      </w:r>
    </w:p>
    <w:p w:rsidR="00B016F6" w:rsidRPr="00390A9D" w:rsidRDefault="00B016F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-Формирование устойчивого взаимодействия студентов учебной группы в достижении общей цели образовательного процесса.</w:t>
      </w:r>
    </w:p>
    <w:p w:rsidR="00B016F6" w:rsidRPr="00390A9D" w:rsidRDefault="00B016F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-Внедрение концептуальных позиций групповых технологий и форм обучения, способствующих формированию социального поведения обучающихся в рамках преподавания предмета «Биология».</w:t>
      </w:r>
    </w:p>
    <w:p w:rsidR="00B016F6" w:rsidRPr="00390A9D" w:rsidRDefault="00B016F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Основоположники педагогики, общественные деятели и писатели также считали, что личность человека может достичь высот сознания только в коллективе.</w:t>
      </w:r>
    </w:p>
    <w:p w:rsidR="00B016F6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 </w:t>
      </w:r>
      <w:r w:rsidR="00B016F6" w:rsidRPr="00390A9D">
        <w:rPr>
          <w:rFonts w:ascii="Times New Roman" w:hAnsi="Times New Roman" w:cs="Times New Roman"/>
          <w:i/>
          <w:sz w:val="24"/>
          <w:szCs w:val="24"/>
        </w:rPr>
        <w:t>«Люди вместе могут совершить то, чего не в силах сделать в одиночку; единение умов и рук, сосредоточение их сил может стать почти всемогущим».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Ушинский Константин Дмитриевич</w:t>
      </w:r>
    </w:p>
    <w:p w:rsidR="00B016F6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6F6" w:rsidRPr="00390A9D">
        <w:rPr>
          <w:rFonts w:ascii="Times New Roman" w:hAnsi="Times New Roman" w:cs="Times New Roman"/>
          <w:i/>
          <w:sz w:val="24"/>
          <w:szCs w:val="24"/>
        </w:rPr>
        <w:t>«Личность, сливаясь с коллективом, не теряет себя. Напротив, она достигает в коллективе высшей ступени сознания и совершенствования».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Анри Барбюс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Конечно, цели образовательного процесса являются приоритетными в преподавании </w:t>
      </w:r>
      <w:r w:rsidR="007C46EB" w:rsidRPr="00390A9D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  <w:r w:rsidRPr="00390A9D">
        <w:rPr>
          <w:rFonts w:ascii="Times New Roman" w:hAnsi="Times New Roman" w:cs="Times New Roman"/>
          <w:sz w:val="24"/>
          <w:szCs w:val="24"/>
        </w:rPr>
        <w:t>, мы повышаем уровень интеллектуальной коммуникации студентов. Выпускники СПО обладают  профессиональными компетенциями, но необходимо учитывать то, что конкуренция на рынке труда требует от них и основные социально-коммуникативные умения, т.е. ключевые компетенции.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819" cy="2924355"/>
            <wp:effectExtent l="19050" t="19050" r="1841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Исследование рынка работодателей Волгоградской области позволило мне определить основной набор ключевых компетенций, необходимых для подготовки кадров в нашем регионе. Для данного исследования я использовала два наиболее популярных сайта по поиску работы </w:t>
      </w:r>
      <w:r w:rsidR="00CA3EA0" w:rsidRPr="00390A9D">
        <w:rPr>
          <w:rFonts w:ascii="Times New Roman" w:hAnsi="Times New Roman" w:cs="Times New Roman"/>
          <w:sz w:val="24"/>
          <w:szCs w:val="24"/>
        </w:rPr>
        <w:t>- э</w:t>
      </w:r>
      <w:r w:rsidRPr="00390A9D">
        <w:rPr>
          <w:rFonts w:ascii="Times New Roman" w:hAnsi="Times New Roman" w:cs="Times New Roman"/>
          <w:sz w:val="24"/>
          <w:szCs w:val="24"/>
        </w:rPr>
        <w:t xml:space="preserve">то </w:t>
      </w:r>
      <w:r w:rsidR="00CA3EA0" w:rsidRPr="00390A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EA0" w:rsidRPr="00390A9D">
        <w:rPr>
          <w:rFonts w:ascii="Times New Roman" w:hAnsi="Times New Roman" w:cs="Times New Roman"/>
          <w:sz w:val="24"/>
          <w:szCs w:val="24"/>
        </w:rPr>
        <w:t>А</w:t>
      </w:r>
      <w:r w:rsidRPr="00390A9D">
        <w:rPr>
          <w:rFonts w:ascii="Times New Roman" w:hAnsi="Times New Roman" w:cs="Times New Roman"/>
          <w:sz w:val="24"/>
          <w:szCs w:val="24"/>
        </w:rPr>
        <w:t>вито</w:t>
      </w:r>
      <w:proofErr w:type="spellEnd"/>
      <w:r w:rsidR="00CA3EA0" w:rsidRPr="00390A9D">
        <w:rPr>
          <w:rFonts w:ascii="Times New Roman" w:hAnsi="Times New Roman" w:cs="Times New Roman"/>
          <w:sz w:val="24"/>
          <w:szCs w:val="24"/>
        </w:rPr>
        <w:t>»</w:t>
      </w:r>
      <w:r w:rsidRPr="00390A9D">
        <w:rPr>
          <w:rFonts w:ascii="Times New Roman" w:hAnsi="Times New Roman" w:cs="Times New Roman"/>
          <w:sz w:val="24"/>
          <w:szCs w:val="24"/>
        </w:rPr>
        <w:t xml:space="preserve"> и </w:t>
      </w:r>
      <w:r w:rsidR="00CA3EA0" w:rsidRPr="00390A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EA0" w:rsidRPr="00390A9D">
        <w:rPr>
          <w:rFonts w:ascii="Times New Roman" w:hAnsi="Times New Roman" w:cs="Times New Roman"/>
          <w:sz w:val="24"/>
          <w:szCs w:val="24"/>
        </w:rPr>
        <w:t>С</w:t>
      </w:r>
      <w:r w:rsidRPr="00390A9D">
        <w:rPr>
          <w:rFonts w:ascii="Times New Roman" w:hAnsi="Times New Roman" w:cs="Times New Roman"/>
          <w:sz w:val="24"/>
          <w:szCs w:val="24"/>
        </w:rPr>
        <w:t>уперджоб</w:t>
      </w:r>
      <w:proofErr w:type="spellEnd"/>
      <w:r w:rsidR="00CA3EA0" w:rsidRPr="00390A9D">
        <w:rPr>
          <w:rFonts w:ascii="Times New Roman" w:hAnsi="Times New Roman" w:cs="Times New Roman"/>
          <w:sz w:val="24"/>
          <w:szCs w:val="24"/>
        </w:rPr>
        <w:t>»</w:t>
      </w:r>
      <w:r w:rsidRPr="00390A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0A9D">
        <w:rPr>
          <w:rFonts w:ascii="Times New Roman" w:hAnsi="Times New Roman" w:cs="Times New Roman"/>
          <w:sz w:val="24"/>
          <w:szCs w:val="24"/>
        </w:rPr>
        <w:t xml:space="preserve">В настоящее время 75% вакансий-это рабочие специальности и только 7.5% данных объявлений не содержит </w:t>
      </w:r>
      <w:r w:rsidR="00CA3EA0" w:rsidRPr="00390A9D">
        <w:rPr>
          <w:rFonts w:ascii="Times New Roman" w:hAnsi="Times New Roman" w:cs="Times New Roman"/>
          <w:sz w:val="24"/>
          <w:szCs w:val="24"/>
        </w:rPr>
        <w:t>никаких</w:t>
      </w:r>
      <w:r w:rsidRPr="00390A9D">
        <w:rPr>
          <w:rFonts w:ascii="Times New Roman" w:hAnsi="Times New Roman" w:cs="Times New Roman"/>
          <w:sz w:val="24"/>
          <w:szCs w:val="24"/>
        </w:rPr>
        <w:t xml:space="preserve"> дополнительных требований, кроме наличия соответствующего диплома и опыта. 67.5% содержат дополнительные условия это: умение общаться, умение работать в команде, умение решать проблемы, умение работать с информацией, способность управлять собой, способность к саморазвитию, нацеленность на результат и активная жизненная позиция, инициативность. </w:t>
      </w:r>
      <w:proofErr w:type="gramEnd"/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      В работе по внедрению в педагогическую практику ключевых компетенций центральным моментом являются такие формы организации учебной деятельности, в основе которых лежит самостоятельность и ответственность за результаты труда самих обучающихся. Таким образом, происходит смещение односторонней активности преподавателя на активность, самостоятельность и ответственность студентов. Преподаватель при этом выступает в роли организатора учебного процесса на проблемной основе, действуя, скорее как руководитель и партнер, чем как источник готовых знаний.</w:t>
      </w:r>
    </w:p>
    <w:p w:rsidR="00CA3EA0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      Развитие основных ключевых компетенций можно обеспечить при групповой форме работы на уроке.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ФГОСТ второго поколения определили системн</w:t>
      </w:r>
      <w:r w:rsidR="003C7E09" w:rsidRPr="00390A9D">
        <w:rPr>
          <w:rFonts w:ascii="Times New Roman" w:hAnsi="Times New Roman" w:cs="Times New Roman"/>
          <w:sz w:val="24"/>
          <w:szCs w:val="24"/>
        </w:rPr>
        <w:t xml:space="preserve">о - </w:t>
      </w:r>
      <w:r w:rsidRPr="00390A9D">
        <w:rPr>
          <w:rFonts w:ascii="Times New Roman" w:hAnsi="Times New Roman" w:cs="Times New Roman"/>
          <w:sz w:val="24"/>
          <w:szCs w:val="24"/>
        </w:rPr>
        <w:t>деятельностный подход ведущим в учебном процессе, обусловили применение педагогических технологий, обеспечивающих компетентностный результат. Образовательная практика позволяет выделить следующие технологии: технология проблемного обучения, технология развивающего обучения, технология педагогической мастерской, технология «Развития критического мышления», технология проектной деятельности, Дальтон-технология, ТОГИС (технология образования в глобальном информационном сообществе) и некоторые другие. Каждая из перечисленных технологий, безусловно, представляет определённую совокупность методов, приёмов, средств достижения результата, имеет специфический набор технологических характеристик и процедур. Но что объединяет эти технологии? В основе каждой из них лежит общий компонент, позволяющий реализовывать учебный процесс на принципах сотрудничества, деятельности и, соответственно, достигать современного результата образования. Речь идёт о методе группового обучения, направленном на организацию совместной учебной деятельности учащихся через объединение в группы.</w:t>
      </w:r>
    </w:p>
    <w:p w:rsidR="007B47A8" w:rsidRPr="00390A9D" w:rsidRDefault="00CA3EA0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Одна</w:t>
      </w:r>
      <w:r w:rsidR="007B47A8" w:rsidRPr="00390A9D">
        <w:rPr>
          <w:rFonts w:ascii="Times New Roman" w:hAnsi="Times New Roman" w:cs="Times New Roman"/>
          <w:sz w:val="24"/>
          <w:szCs w:val="24"/>
        </w:rPr>
        <w:t xml:space="preserve"> из форм группового метода – это работа в паре. Эту форму удобно использовать практически на каждом уроке, </w:t>
      </w:r>
      <w:proofErr w:type="gramStart"/>
      <w:r w:rsidR="007B47A8" w:rsidRPr="00390A9D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7B47A8" w:rsidRPr="00390A9D">
        <w:rPr>
          <w:rFonts w:ascii="Times New Roman" w:hAnsi="Times New Roman" w:cs="Times New Roman"/>
          <w:sz w:val="24"/>
          <w:szCs w:val="24"/>
        </w:rPr>
        <w:t xml:space="preserve"> что не требует предварительной расстановки парт. </w:t>
      </w:r>
      <w:r w:rsidR="007B47A8" w:rsidRPr="00390A9D">
        <w:rPr>
          <w:rFonts w:ascii="Times New Roman" w:hAnsi="Times New Roman" w:cs="Times New Roman"/>
          <w:sz w:val="24"/>
          <w:szCs w:val="24"/>
        </w:rPr>
        <w:lastRenderedPageBreak/>
        <w:t>Пары могут быть как постоянными, так и стихийно созданными (например: более сильный студент с более слабым) все зависит от целей и задач урока, поставленных преподавателем. При формировании малых групп необходимо учитывать основные моменты: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Соблюдать принцип гетерогенности (разнородности). При комплектовании гомогенных (однородных) групп по уровню знаний, сильные учащиеся становятся сильнее, а слабые еще слабее, тем самым увеличивается разрыв между учебными достижениями. А обучение в гетерогенных группах подстегивает слабых учащихся до уровня средних и в то же время стимулирует учебный процесс средних и сильных.</w:t>
      </w:r>
    </w:p>
    <w:p w:rsidR="0056429C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На таком уроке абсолютно каждый студент вовлечен в образовательный процесс. Ребята с легкостью объясняют друг другу биологические термины</w:t>
      </w:r>
      <w:r w:rsidR="00295A2C" w:rsidRPr="00390A9D">
        <w:rPr>
          <w:rFonts w:ascii="Times New Roman" w:hAnsi="Times New Roman" w:cs="Times New Roman"/>
          <w:sz w:val="24"/>
          <w:szCs w:val="24"/>
        </w:rPr>
        <w:t>,</w:t>
      </w:r>
      <w:r w:rsidRPr="00390A9D">
        <w:rPr>
          <w:rFonts w:ascii="Times New Roman" w:hAnsi="Times New Roman" w:cs="Times New Roman"/>
          <w:sz w:val="24"/>
          <w:szCs w:val="24"/>
        </w:rPr>
        <w:t xml:space="preserve"> тем самым поддерживается непрерывность передачи знаний друг другу, активно выполняют практические задания, ведь от их работы зависит не только их оценка, но и оценка деятельности их пары, что повышает мотивацию и как следствие качество знаний.</w:t>
      </w:r>
    </w:p>
    <w:p w:rsidR="0056429C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Работ</w:t>
      </w:r>
      <w:r w:rsidR="003C7E09" w:rsidRPr="00390A9D">
        <w:rPr>
          <w:rFonts w:ascii="Times New Roman" w:hAnsi="Times New Roman" w:cs="Times New Roman"/>
          <w:sz w:val="24"/>
          <w:szCs w:val="24"/>
        </w:rPr>
        <w:t>у</w:t>
      </w:r>
      <w:r w:rsidRPr="00390A9D">
        <w:rPr>
          <w:rFonts w:ascii="Times New Roman" w:hAnsi="Times New Roman" w:cs="Times New Roman"/>
          <w:sz w:val="24"/>
          <w:szCs w:val="24"/>
        </w:rPr>
        <w:t xml:space="preserve"> в малых группах</w:t>
      </w:r>
      <w:r w:rsidR="003C7E09" w:rsidRPr="00390A9D">
        <w:rPr>
          <w:rFonts w:ascii="Times New Roman" w:hAnsi="Times New Roman" w:cs="Times New Roman"/>
          <w:sz w:val="24"/>
          <w:szCs w:val="24"/>
        </w:rPr>
        <w:t xml:space="preserve"> х</w:t>
      </w:r>
      <w:r w:rsidRPr="00390A9D">
        <w:rPr>
          <w:rFonts w:ascii="Times New Roman" w:hAnsi="Times New Roman" w:cs="Times New Roman"/>
          <w:sz w:val="24"/>
          <w:szCs w:val="24"/>
        </w:rPr>
        <w:t>орошо использовать для проведения обобщающих уроков, при выполнении практических заданий. Данная форма позволяет рационально планировать время и анализировать свою работу, распределять обязанности, работать в команде и применять на практике имеющиеся знания. В ходе таких уроков студенты могут примерить на себя разные роли. Работа в малых группах отличается всегда повышенной активностью студентов, что позволяет достигнуть максимальных результатов образовательного процесса.</w:t>
      </w:r>
    </w:p>
    <w:p w:rsidR="0056429C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Работа в больших группах. Примером такой формы групповой работы может послужить урок-игра. В работе по данной методике преподаватель - помощник, контролёр, регулятор споров, если таковые возникают. Такой урок позволяет обобщить и систематизировать имеющиеся знания и умения. Да, конечно, такая форма проведения урока требует от преподавателя серьезной подготовки: интерактивные средства, кабинет, сценарий. Предварительно следует настроить группу на данный вид работы, но высокая результативность таких уроков оправдывает средства.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Несомненно, существуют трудности у педагога при использовании групповой формы обучения: для студентов, поступивших </w:t>
      </w:r>
      <w:r w:rsidR="008C2CCA" w:rsidRPr="00390A9D">
        <w:rPr>
          <w:rFonts w:ascii="Times New Roman" w:hAnsi="Times New Roman" w:cs="Times New Roman"/>
          <w:sz w:val="24"/>
          <w:szCs w:val="24"/>
        </w:rPr>
        <w:t>в СПО</w:t>
      </w:r>
      <w:r w:rsidRPr="00390A9D">
        <w:rPr>
          <w:rFonts w:ascii="Times New Roman" w:hAnsi="Times New Roman" w:cs="Times New Roman"/>
          <w:sz w:val="24"/>
          <w:szCs w:val="24"/>
        </w:rPr>
        <w:t>, данная методика является новой (к сожалению, не используется или используется редко в школе), поэтому на первых уроках приходится много времени уделять дисциплине</w:t>
      </w:r>
      <w:r w:rsidR="008C2CCA" w:rsidRPr="00390A9D">
        <w:rPr>
          <w:rFonts w:ascii="Times New Roman" w:hAnsi="Times New Roman" w:cs="Times New Roman"/>
          <w:sz w:val="24"/>
          <w:szCs w:val="24"/>
        </w:rPr>
        <w:t>.</w:t>
      </w:r>
      <w:r w:rsidRPr="00390A9D">
        <w:rPr>
          <w:rFonts w:ascii="Times New Roman" w:hAnsi="Times New Roman" w:cs="Times New Roman"/>
          <w:sz w:val="24"/>
          <w:szCs w:val="24"/>
        </w:rPr>
        <w:t xml:space="preserve"> </w:t>
      </w:r>
      <w:r w:rsidR="008C2CCA" w:rsidRPr="00390A9D">
        <w:rPr>
          <w:rFonts w:ascii="Times New Roman" w:hAnsi="Times New Roman" w:cs="Times New Roman"/>
          <w:sz w:val="24"/>
          <w:szCs w:val="24"/>
        </w:rPr>
        <w:t>С</w:t>
      </w:r>
      <w:r w:rsidRPr="00390A9D">
        <w:rPr>
          <w:rFonts w:ascii="Times New Roman" w:hAnsi="Times New Roman" w:cs="Times New Roman"/>
          <w:sz w:val="24"/>
          <w:szCs w:val="24"/>
        </w:rPr>
        <w:t xml:space="preserve">тоит проявить терпение и системность,   как вы увидите результат: возрастает глубина понимания материала, студенты становятся более активными, самостоятельными; возрастает сплоченность в группе, ребята учатся выражать свое мнение и с уважением относиться к чужому </w:t>
      </w:r>
      <w:r w:rsidR="003C7E09" w:rsidRPr="00390A9D">
        <w:rPr>
          <w:rFonts w:ascii="Times New Roman" w:hAnsi="Times New Roman" w:cs="Times New Roman"/>
          <w:sz w:val="24"/>
          <w:szCs w:val="24"/>
        </w:rPr>
        <w:t>мнению.</w:t>
      </w:r>
    </w:p>
    <w:p w:rsidR="003C7E09" w:rsidRPr="00390A9D" w:rsidRDefault="003C7E09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Для оценки результативности групповой формы обучения, мной было проведено исследование.</w:t>
      </w:r>
    </w:p>
    <w:p w:rsidR="007B0A92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7B0A92" w:rsidRPr="00390A9D" w:rsidRDefault="007B0A92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</w:t>
      </w:r>
      <w:r w:rsidR="007B47A8" w:rsidRPr="00390A9D">
        <w:rPr>
          <w:rFonts w:ascii="Times New Roman" w:hAnsi="Times New Roman" w:cs="Times New Roman"/>
          <w:sz w:val="24"/>
          <w:szCs w:val="24"/>
        </w:rPr>
        <w:t xml:space="preserve"> выявить результативность групповой формы обучения при оценке уровня мотивации </w:t>
      </w:r>
      <w:r w:rsidRPr="00390A9D">
        <w:rPr>
          <w:rFonts w:ascii="Times New Roman" w:hAnsi="Times New Roman" w:cs="Times New Roman"/>
          <w:sz w:val="24"/>
          <w:szCs w:val="24"/>
        </w:rPr>
        <w:t>студентов ГБПОУ «ПУ №3»;</w:t>
      </w:r>
    </w:p>
    <w:p w:rsidR="007B47A8" w:rsidRPr="00390A9D" w:rsidRDefault="007B0A92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- выявить результативность групповой формы обучения при оценке уровня</w:t>
      </w:r>
      <w:r w:rsidR="007B47A8" w:rsidRPr="00390A9D">
        <w:rPr>
          <w:rFonts w:ascii="Times New Roman" w:hAnsi="Times New Roman" w:cs="Times New Roman"/>
          <w:sz w:val="24"/>
          <w:szCs w:val="24"/>
        </w:rPr>
        <w:t xml:space="preserve"> качества знаний студентов</w:t>
      </w:r>
      <w:r w:rsidR="003C7E09" w:rsidRPr="00390A9D">
        <w:rPr>
          <w:rFonts w:ascii="Times New Roman" w:hAnsi="Times New Roman" w:cs="Times New Roman"/>
          <w:sz w:val="24"/>
          <w:szCs w:val="24"/>
        </w:rPr>
        <w:t xml:space="preserve"> ГБПОУ «ПУ №3».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Задача</w:t>
      </w:r>
      <w:r w:rsidR="007B0A92" w:rsidRPr="00390A9D">
        <w:rPr>
          <w:rFonts w:ascii="Times New Roman" w:hAnsi="Times New Roman" w:cs="Times New Roman"/>
          <w:i/>
          <w:sz w:val="24"/>
          <w:szCs w:val="24"/>
        </w:rPr>
        <w:t xml:space="preserve"> исследования</w:t>
      </w:r>
      <w:r w:rsidRPr="00390A9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- </w:t>
      </w:r>
      <w:r w:rsidR="007B0A92" w:rsidRPr="00390A9D">
        <w:rPr>
          <w:rFonts w:ascii="Times New Roman" w:hAnsi="Times New Roman" w:cs="Times New Roman"/>
          <w:sz w:val="24"/>
          <w:szCs w:val="24"/>
        </w:rPr>
        <w:t>провести анализ</w:t>
      </w:r>
      <w:r w:rsidRPr="00390A9D">
        <w:rPr>
          <w:rFonts w:ascii="Times New Roman" w:hAnsi="Times New Roman" w:cs="Times New Roman"/>
          <w:sz w:val="24"/>
          <w:szCs w:val="24"/>
        </w:rPr>
        <w:t xml:space="preserve"> соотношени</w:t>
      </w:r>
      <w:r w:rsidR="007B0A92" w:rsidRPr="00390A9D">
        <w:rPr>
          <w:rFonts w:ascii="Times New Roman" w:hAnsi="Times New Roman" w:cs="Times New Roman"/>
          <w:sz w:val="24"/>
          <w:szCs w:val="24"/>
        </w:rPr>
        <w:t>я</w:t>
      </w:r>
      <w:r w:rsidRPr="00390A9D">
        <w:rPr>
          <w:rFonts w:ascii="Times New Roman" w:hAnsi="Times New Roman" w:cs="Times New Roman"/>
          <w:sz w:val="24"/>
          <w:szCs w:val="24"/>
        </w:rPr>
        <w:t xml:space="preserve"> студентов с низким, средним и высоким уровнем мотивации в экспериментальной и контрольной группе студентов до исследования и после</w:t>
      </w:r>
      <w:r w:rsidR="007B0A92" w:rsidRPr="00390A9D">
        <w:rPr>
          <w:rFonts w:ascii="Times New Roman" w:hAnsi="Times New Roman" w:cs="Times New Roman"/>
          <w:sz w:val="24"/>
          <w:szCs w:val="24"/>
        </w:rPr>
        <w:t>;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- </w:t>
      </w:r>
      <w:r w:rsidR="007B0A92" w:rsidRPr="00390A9D">
        <w:rPr>
          <w:rFonts w:ascii="Times New Roman" w:hAnsi="Times New Roman" w:cs="Times New Roman"/>
          <w:sz w:val="24"/>
          <w:szCs w:val="24"/>
        </w:rPr>
        <w:t>провести анализ</w:t>
      </w:r>
      <w:r w:rsidRPr="00390A9D">
        <w:rPr>
          <w:rFonts w:ascii="Times New Roman" w:hAnsi="Times New Roman" w:cs="Times New Roman"/>
          <w:sz w:val="24"/>
          <w:szCs w:val="24"/>
        </w:rPr>
        <w:t xml:space="preserve"> </w:t>
      </w:r>
      <w:r w:rsidR="007B0A92" w:rsidRPr="00390A9D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390A9D">
        <w:rPr>
          <w:rFonts w:ascii="Times New Roman" w:hAnsi="Times New Roman" w:cs="Times New Roman"/>
          <w:sz w:val="24"/>
          <w:szCs w:val="24"/>
        </w:rPr>
        <w:t>качества знаний в экспериментальной и контрольной группе студентов до исследования и после</w:t>
      </w:r>
      <w:r w:rsidR="007B0A92" w:rsidRPr="00390A9D">
        <w:rPr>
          <w:rFonts w:ascii="Times New Roman" w:hAnsi="Times New Roman" w:cs="Times New Roman"/>
          <w:sz w:val="24"/>
          <w:szCs w:val="24"/>
        </w:rPr>
        <w:t>.</w:t>
      </w:r>
    </w:p>
    <w:p w:rsidR="00EC28AB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Объект:</w:t>
      </w:r>
      <w:r w:rsidR="00EC28AB" w:rsidRPr="00390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8AB" w:rsidRPr="00390A9D">
        <w:rPr>
          <w:rFonts w:ascii="Times New Roman" w:hAnsi="Times New Roman" w:cs="Times New Roman"/>
          <w:sz w:val="24"/>
          <w:szCs w:val="24"/>
        </w:rPr>
        <w:t xml:space="preserve">комплекс групповых технологий </w:t>
      </w:r>
      <w:r w:rsidRPr="00390A9D">
        <w:rPr>
          <w:rFonts w:ascii="Times New Roman" w:hAnsi="Times New Roman" w:cs="Times New Roman"/>
          <w:sz w:val="24"/>
          <w:szCs w:val="24"/>
        </w:rPr>
        <w:t xml:space="preserve"> </w:t>
      </w:r>
      <w:r w:rsidR="00EC28AB" w:rsidRPr="00390A9D">
        <w:rPr>
          <w:rFonts w:ascii="Times New Roman" w:hAnsi="Times New Roman" w:cs="Times New Roman"/>
          <w:sz w:val="24"/>
          <w:szCs w:val="24"/>
        </w:rPr>
        <w:t xml:space="preserve">и форм обучения </w:t>
      </w:r>
      <w:r w:rsidR="008C2CCA" w:rsidRPr="00390A9D">
        <w:rPr>
          <w:rFonts w:ascii="Times New Roman" w:hAnsi="Times New Roman" w:cs="Times New Roman"/>
          <w:sz w:val="24"/>
          <w:szCs w:val="24"/>
        </w:rPr>
        <w:t>в рамках преподавания предмета «Биология».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 xml:space="preserve">Предмет: </w:t>
      </w:r>
      <w:r w:rsidRPr="00390A9D">
        <w:rPr>
          <w:rFonts w:ascii="Times New Roman" w:hAnsi="Times New Roman" w:cs="Times New Roman"/>
          <w:sz w:val="24"/>
          <w:szCs w:val="24"/>
        </w:rPr>
        <w:t>вариативность изменения уровня мотивации студентов к изучению предмета «Биология»  и качества знаний при использовании традиционной и групповой формы обучения на уроках.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Ход исследования:</w:t>
      </w:r>
      <w:r w:rsidRPr="00390A9D">
        <w:rPr>
          <w:rFonts w:ascii="Times New Roman" w:hAnsi="Times New Roman" w:cs="Times New Roman"/>
          <w:sz w:val="24"/>
          <w:szCs w:val="24"/>
        </w:rPr>
        <w:t xml:space="preserve"> Для эксперимента были выбраны 4 группы 1-го курса. На первых уроках я провела анкетирование студентов для выявления начальной мотивации к изучению </w:t>
      </w:r>
      <w:r w:rsidRPr="00390A9D">
        <w:rPr>
          <w:rFonts w:ascii="Times New Roman" w:hAnsi="Times New Roman" w:cs="Times New Roman"/>
          <w:sz w:val="24"/>
          <w:szCs w:val="24"/>
        </w:rPr>
        <w:lastRenderedPageBreak/>
        <w:t xml:space="preserve">предмета «Биология». </w:t>
      </w:r>
      <w:proofErr w:type="gramStart"/>
      <w:r w:rsidRPr="00390A9D">
        <w:rPr>
          <w:rFonts w:ascii="Times New Roman" w:hAnsi="Times New Roman" w:cs="Times New Roman"/>
          <w:sz w:val="24"/>
          <w:szCs w:val="24"/>
        </w:rPr>
        <w:t>Результат в экспериментальной и контрольной группах (разделение было случайным по 2 группы) был приблизительно одинаковым: в экспериментальной группе 82% студентов имели низкий уровень мотивации, 12% средний, 6% высокий.</w:t>
      </w:r>
      <w:proofErr w:type="gramEnd"/>
      <w:r w:rsidRPr="00390A9D">
        <w:rPr>
          <w:rFonts w:ascii="Times New Roman" w:hAnsi="Times New Roman" w:cs="Times New Roman"/>
          <w:sz w:val="24"/>
          <w:szCs w:val="24"/>
        </w:rPr>
        <w:t xml:space="preserve"> Результат контрольной группы: 78% с низким уровнем мотивации, 16% со средним и 6% с высоким</w:t>
      </w:r>
      <w:r w:rsidR="00EC28AB" w:rsidRPr="00390A9D">
        <w:rPr>
          <w:rFonts w:ascii="Times New Roman" w:hAnsi="Times New Roman" w:cs="Times New Roman"/>
          <w:sz w:val="24"/>
          <w:szCs w:val="24"/>
        </w:rPr>
        <w:t>.</w:t>
      </w:r>
    </w:p>
    <w:p w:rsidR="00213354" w:rsidRPr="00390A9D" w:rsidRDefault="00213354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8AB" w:rsidRPr="00390A9D" w:rsidRDefault="00EC28AB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0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755" cy="3140015"/>
            <wp:effectExtent l="0" t="0" r="952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90A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C28AB" w:rsidRPr="00390A9D" w:rsidRDefault="00EC28AB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6514" cy="3027872"/>
            <wp:effectExtent l="0" t="0" r="1524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3E50" w:rsidRPr="00390A9D" w:rsidRDefault="00BD3E50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A9D">
        <w:rPr>
          <w:rFonts w:ascii="Times New Roman" w:hAnsi="Times New Roman" w:cs="Times New Roman"/>
          <w:sz w:val="24"/>
          <w:szCs w:val="24"/>
        </w:rPr>
        <w:t>Качество знаний в сентябре 2014 г. в экспериментальной группе 10%, а в контрольной 12%; декабрь 2014 г. показал 57% и 49% соответственно, июнь 2015 в экспериментальной группе 68% и 58% в контрольной.</w:t>
      </w:r>
      <w:proofErr w:type="gramEnd"/>
    </w:p>
    <w:p w:rsidR="00BD3E50" w:rsidRPr="00390A9D" w:rsidRDefault="00BD3412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76514" cy="2915728"/>
            <wp:effectExtent l="0" t="0" r="15240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Суть эксперимента заключалась в том, что в контрольной группе я применяла традиционные формы организации учебного процесса, а в экспериментальной использовала группов</w:t>
      </w:r>
      <w:r w:rsidR="00461440" w:rsidRPr="00390A9D">
        <w:rPr>
          <w:rFonts w:ascii="Times New Roman" w:hAnsi="Times New Roman" w:cs="Times New Roman"/>
          <w:sz w:val="24"/>
          <w:szCs w:val="24"/>
        </w:rPr>
        <w:t>ые</w:t>
      </w:r>
      <w:r w:rsidRPr="00390A9D">
        <w:rPr>
          <w:rFonts w:ascii="Times New Roman" w:hAnsi="Times New Roman" w:cs="Times New Roman"/>
          <w:sz w:val="24"/>
          <w:szCs w:val="24"/>
        </w:rPr>
        <w:t xml:space="preserve"> форм</w:t>
      </w:r>
      <w:r w:rsidR="00461440" w:rsidRPr="00390A9D">
        <w:rPr>
          <w:rFonts w:ascii="Times New Roman" w:hAnsi="Times New Roman" w:cs="Times New Roman"/>
          <w:sz w:val="24"/>
          <w:szCs w:val="24"/>
        </w:rPr>
        <w:t>ы</w:t>
      </w:r>
      <w:r w:rsidRPr="00390A9D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>Результат исследования:</w:t>
      </w:r>
      <w:r w:rsidRPr="00390A9D">
        <w:rPr>
          <w:rFonts w:ascii="Times New Roman" w:hAnsi="Times New Roman" w:cs="Times New Roman"/>
          <w:sz w:val="24"/>
          <w:szCs w:val="24"/>
        </w:rPr>
        <w:t xml:space="preserve"> в июне 2015 года я провела итоговую оценку уровня мотивации. </w:t>
      </w:r>
      <w:proofErr w:type="gramStart"/>
      <w:r w:rsidRPr="00390A9D">
        <w:rPr>
          <w:rFonts w:ascii="Times New Roman" w:hAnsi="Times New Roman" w:cs="Times New Roman"/>
          <w:sz w:val="24"/>
          <w:szCs w:val="24"/>
        </w:rPr>
        <w:t>В экспериментальной группе студентов с низким уровнем мотивации 8%, а в контрольной 18%; студенты со средним уровнем мотивации в экспериментальной группе</w:t>
      </w:r>
      <w:r w:rsidR="00BD3412" w:rsidRPr="00390A9D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390A9D">
        <w:rPr>
          <w:rFonts w:ascii="Times New Roman" w:hAnsi="Times New Roman" w:cs="Times New Roman"/>
          <w:sz w:val="24"/>
          <w:szCs w:val="24"/>
        </w:rPr>
        <w:t xml:space="preserve"> 56%, а в контрольной 70%; с высоким уровнем мотивации в экспериментальной группе стало 36%, а в контрольной группе 12%.</w:t>
      </w:r>
      <w:proofErr w:type="gramEnd"/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Процент качества знаний в экспериментальной группе на 10% </w:t>
      </w:r>
      <w:r w:rsidR="00BD3412" w:rsidRPr="00390A9D">
        <w:rPr>
          <w:rFonts w:ascii="Times New Roman" w:hAnsi="Times New Roman" w:cs="Times New Roman"/>
          <w:sz w:val="24"/>
          <w:szCs w:val="24"/>
        </w:rPr>
        <w:t xml:space="preserve">оказался </w:t>
      </w:r>
      <w:proofErr w:type="gramStart"/>
      <w:r w:rsidRPr="00390A9D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390A9D">
        <w:rPr>
          <w:rFonts w:ascii="Times New Roman" w:hAnsi="Times New Roman" w:cs="Times New Roman"/>
          <w:sz w:val="24"/>
          <w:szCs w:val="24"/>
        </w:rPr>
        <w:t xml:space="preserve"> чем в контрольной.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="00BD3412" w:rsidRPr="00390A9D">
        <w:rPr>
          <w:rFonts w:ascii="Times New Roman" w:hAnsi="Times New Roman" w:cs="Times New Roman"/>
          <w:sz w:val="24"/>
          <w:szCs w:val="24"/>
        </w:rPr>
        <w:t>проведенное исследование</w:t>
      </w:r>
      <w:r w:rsidRPr="00390A9D">
        <w:rPr>
          <w:rFonts w:ascii="Times New Roman" w:hAnsi="Times New Roman" w:cs="Times New Roman"/>
          <w:sz w:val="24"/>
          <w:szCs w:val="24"/>
        </w:rPr>
        <w:t xml:space="preserve"> практически доказал</w:t>
      </w:r>
      <w:r w:rsidR="00BD3412" w:rsidRPr="00390A9D">
        <w:rPr>
          <w:rFonts w:ascii="Times New Roman" w:hAnsi="Times New Roman" w:cs="Times New Roman"/>
          <w:sz w:val="24"/>
          <w:szCs w:val="24"/>
        </w:rPr>
        <w:t>о</w:t>
      </w:r>
      <w:r w:rsidRPr="00390A9D">
        <w:rPr>
          <w:rFonts w:ascii="Times New Roman" w:hAnsi="Times New Roman" w:cs="Times New Roman"/>
          <w:sz w:val="24"/>
          <w:szCs w:val="24"/>
        </w:rPr>
        <w:t xml:space="preserve"> высокую результативность применения групповой формы обучения на уроках биологии. </w:t>
      </w:r>
      <w:proofErr w:type="gramStart"/>
      <w:r w:rsidR="00BD3412" w:rsidRPr="00390A9D">
        <w:rPr>
          <w:rFonts w:ascii="Times New Roman" w:hAnsi="Times New Roman" w:cs="Times New Roman"/>
          <w:sz w:val="24"/>
          <w:szCs w:val="24"/>
        </w:rPr>
        <w:t>Количество</w:t>
      </w:r>
      <w:r w:rsidRPr="00390A9D">
        <w:rPr>
          <w:rFonts w:ascii="Times New Roman" w:hAnsi="Times New Roman" w:cs="Times New Roman"/>
          <w:sz w:val="24"/>
          <w:szCs w:val="24"/>
        </w:rPr>
        <w:t xml:space="preserve"> студентов с низким уровнем мотивации в экспериментальной группе ниже на 10% чем в экспериментальной</w:t>
      </w:r>
      <w:r w:rsidR="00F34AA5" w:rsidRPr="00390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4AA5" w:rsidRPr="00390A9D">
        <w:rPr>
          <w:rFonts w:ascii="Times New Roman" w:hAnsi="Times New Roman" w:cs="Times New Roman"/>
          <w:sz w:val="24"/>
          <w:szCs w:val="24"/>
        </w:rPr>
        <w:t xml:space="preserve"> Количество студентов</w:t>
      </w:r>
      <w:r w:rsidRPr="00390A9D">
        <w:rPr>
          <w:rFonts w:ascii="Times New Roman" w:hAnsi="Times New Roman" w:cs="Times New Roman"/>
          <w:sz w:val="24"/>
          <w:szCs w:val="24"/>
        </w:rPr>
        <w:t xml:space="preserve"> со средним уровнем мотивации </w:t>
      </w:r>
      <w:r w:rsidR="00F34AA5" w:rsidRPr="00390A9D">
        <w:rPr>
          <w:rFonts w:ascii="Times New Roman" w:hAnsi="Times New Roman" w:cs="Times New Roman"/>
          <w:sz w:val="24"/>
          <w:szCs w:val="24"/>
        </w:rPr>
        <w:t>ниже, чем в контрольной группе</w:t>
      </w:r>
      <w:r w:rsidRPr="00390A9D">
        <w:rPr>
          <w:rFonts w:ascii="Times New Roman" w:hAnsi="Times New Roman" w:cs="Times New Roman"/>
          <w:sz w:val="24"/>
          <w:szCs w:val="24"/>
        </w:rPr>
        <w:t>, но</w:t>
      </w:r>
      <w:r w:rsidR="00F34AA5" w:rsidRPr="00390A9D">
        <w:rPr>
          <w:rFonts w:ascii="Times New Roman" w:hAnsi="Times New Roman" w:cs="Times New Roman"/>
          <w:sz w:val="24"/>
          <w:szCs w:val="24"/>
        </w:rPr>
        <w:t xml:space="preserve"> с</w:t>
      </w:r>
      <w:r w:rsidRPr="00390A9D">
        <w:rPr>
          <w:rFonts w:ascii="Times New Roman" w:hAnsi="Times New Roman" w:cs="Times New Roman"/>
          <w:sz w:val="24"/>
          <w:szCs w:val="24"/>
        </w:rPr>
        <w:t xml:space="preserve"> высоким уровнем мотивации в экспериментальной группе о</w:t>
      </w:r>
      <w:r w:rsidR="00F34AA5" w:rsidRPr="00390A9D">
        <w:rPr>
          <w:rFonts w:ascii="Times New Roman" w:hAnsi="Times New Roman" w:cs="Times New Roman"/>
          <w:sz w:val="24"/>
          <w:szCs w:val="24"/>
        </w:rPr>
        <w:t>казало</w:t>
      </w:r>
      <w:r w:rsidRPr="00390A9D">
        <w:rPr>
          <w:rFonts w:ascii="Times New Roman" w:hAnsi="Times New Roman" w:cs="Times New Roman"/>
          <w:sz w:val="24"/>
          <w:szCs w:val="24"/>
        </w:rPr>
        <w:t xml:space="preserve">сь на 24% больше студентов, чем в контрольной группе. </w:t>
      </w:r>
      <w:proofErr w:type="gramStart"/>
      <w:r w:rsidR="00F34AA5" w:rsidRPr="00390A9D">
        <w:rPr>
          <w:rFonts w:ascii="Times New Roman" w:hAnsi="Times New Roman" w:cs="Times New Roman"/>
          <w:sz w:val="24"/>
          <w:szCs w:val="24"/>
        </w:rPr>
        <w:t>Показатель качества знаний</w:t>
      </w:r>
      <w:r w:rsidRPr="00390A9D">
        <w:rPr>
          <w:rFonts w:ascii="Times New Roman" w:hAnsi="Times New Roman" w:cs="Times New Roman"/>
          <w:sz w:val="24"/>
          <w:szCs w:val="24"/>
        </w:rPr>
        <w:t xml:space="preserve"> в экспериментальной группе </w:t>
      </w:r>
      <w:r w:rsidR="00BD3412" w:rsidRPr="00390A9D">
        <w:rPr>
          <w:rFonts w:ascii="Times New Roman" w:hAnsi="Times New Roman" w:cs="Times New Roman"/>
          <w:sz w:val="24"/>
          <w:szCs w:val="24"/>
        </w:rPr>
        <w:t>оказал</w:t>
      </w:r>
      <w:r w:rsidR="00F34AA5" w:rsidRPr="00390A9D">
        <w:rPr>
          <w:rFonts w:ascii="Times New Roman" w:hAnsi="Times New Roman" w:cs="Times New Roman"/>
          <w:sz w:val="24"/>
          <w:szCs w:val="24"/>
        </w:rPr>
        <w:t>ся</w:t>
      </w:r>
      <w:r w:rsidR="00BD3412" w:rsidRPr="00390A9D">
        <w:rPr>
          <w:rFonts w:ascii="Times New Roman" w:hAnsi="Times New Roman" w:cs="Times New Roman"/>
          <w:sz w:val="24"/>
          <w:szCs w:val="24"/>
        </w:rPr>
        <w:t xml:space="preserve"> </w:t>
      </w:r>
      <w:r w:rsidRPr="00390A9D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BD3412" w:rsidRPr="00390A9D">
        <w:rPr>
          <w:rFonts w:ascii="Times New Roman" w:hAnsi="Times New Roman" w:cs="Times New Roman"/>
          <w:sz w:val="24"/>
          <w:szCs w:val="24"/>
        </w:rPr>
        <w:t>выше,</w:t>
      </w:r>
      <w:r w:rsidRPr="00390A9D">
        <w:rPr>
          <w:rFonts w:ascii="Times New Roman" w:hAnsi="Times New Roman" w:cs="Times New Roman"/>
          <w:sz w:val="24"/>
          <w:szCs w:val="24"/>
        </w:rPr>
        <w:t xml:space="preserve"> чем в к</w:t>
      </w:r>
      <w:r w:rsidR="00F34AA5" w:rsidRPr="00390A9D">
        <w:rPr>
          <w:rFonts w:ascii="Times New Roman" w:hAnsi="Times New Roman" w:cs="Times New Roman"/>
          <w:sz w:val="24"/>
          <w:szCs w:val="24"/>
        </w:rPr>
        <w:t>о</w:t>
      </w:r>
      <w:r w:rsidRPr="00390A9D">
        <w:rPr>
          <w:rFonts w:ascii="Times New Roman" w:hAnsi="Times New Roman" w:cs="Times New Roman"/>
          <w:sz w:val="24"/>
          <w:szCs w:val="24"/>
        </w:rPr>
        <w:t>нтрольной.</w:t>
      </w:r>
      <w:proofErr w:type="gramEnd"/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7B47A8" w:rsidRPr="00390A9D" w:rsidRDefault="007B47A8" w:rsidP="00390A9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A9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390A9D">
        <w:rPr>
          <w:rFonts w:ascii="Times New Roman" w:hAnsi="Times New Roman" w:cs="Times New Roman"/>
          <w:sz w:val="24"/>
          <w:szCs w:val="24"/>
        </w:rPr>
        <w:t xml:space="preserve"> Е. Я. Опыт организации групповой работы на уроках. – URL: http://www.metodichka.net/nschool.php?itemid=117&amp;catid=20. </w:t>
      </w:r>
    </w:p>
    <w:p w:rsidR="007B47A8" w:rsidRPr="00390A9D" w:rsidRDefault="007B47A8" w:rsidP="00390A9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 xml:space="preserve">Инновационные процессы в образовании: Матер. </w:t>
      </w:r>
      <w:proofErr w:type="spellStart"/>
      <w:r w:rsidRPr="00390A9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90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A9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90A9D">
        <w:rPr>
          <w:rFonts w:ascii="Times New Roman" w:hAnsi="Times New Roman" w:cs="Times New Roman"/>
          <w:sz w:val="24"/>
          <w:szCs w:val="24"/>
        </w:rPr>
        <w:t xml:space="preserve">.- Кемерово: </w:t>
      </w:r>
      <w:proofErr w:type="spellStart"/>
      <w:r w:rsidRPr="00390A9D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390A9D">
        <w:rPr>
          <w:rFonts w:ascii="Times New Roman" w:hAnsi="Times New Roman" w:cs="Times New Roman"/>
          <w:sz w:val="24"/>
          <w:szCs w:val="24"/>
        </w:rPr>
        <w:t>, 2006.</w:t>
      </w:r>
    </w:p>
    <w:p w:rsidR="007B47A8" w:rsidRPr="00390A9D" w:rsidRDefault="007B47A8" w:rsidP="00390A9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Личностно-ориентированные технологии обучения в средних специальных учебных заведениях. – М.: Издательский дом «Новый учебник», 2004.</w:t>
      </w:r>
    </w:p>
    <w:p w:rsidR="007B47A8" w:rsidRPr="00390A9D" w:rsidRDefault="007B47A8" w:rsidP="00390A9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9D">
        <w:rPr>
          <w:rFonts w:ascii="Times New Roman" w:hAnsi="Times New Roman" w:cs="Times New Roman"/>
          <w:sz w:val="24"/>
          <w:szCs w:val="24"/>
        </w:rPr>
        <w:t>Косолапова Ю. В. Урок классический и урок в ТОГИС. Работа над задачей // Педагогические технологии. – 2011. – № 4. – С. 8 –12.</w:t>
      </w:r>
    </w:p>
    <w:p w:rsidR="007B47A8" w:rsidRPr="00390A9D" w:rsidRDefault="007B47A8" w:rsidP="00390A9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A9D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390A9D">
        <w:rPr>
          <w:rFonts w:ascii="Times New Roman" w:hAnsi="Times New Roman" w:cs="Times New Roman"/>
          <w:sz w:val="24"/>
          <w:szCs w:val="24"/>
        </w:rPr>
        <w:t xml:space="preserve"> Г. А. Учебное сообщество – путь к учебной самостоятельности. – URL: </w:t>
      </w:r>
    </w:p>
    <w:p w:rsidR="007B47A8" w:rsidRPr="00390A9D" w:rsidRDefault="007B47A8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Pr="00390A9D" w:rsidRDefault="00B016F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Pr="00390A9D" w:rsidRDefault="00B016F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E0A" w:rsidRPr="00390A9D" w:rsidRDefault="00BF3E0A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2D6" w:rsidRPr="00390A9D" w:rsidRDefault="001802D6" w:rsidP="0039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2D6" w:rsidRPr="00390A9D" w:rsidSect="006D4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B7A"/>
    <w:multiLevelType w:val="hybridMultilevel"/>
    <w:tmpl w:val="8A4ACE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C17F53"/>
    <w:multiLevelType w:val="hybridMultilevel"/>
    <w:tmpl w:val="AACE1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AF642B"/>
    <w:multiLevelType w:val="hybridMultilevel"/>
    <w:tmpl w:val="2844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0D67"/>
    <w:multiLevelType w:val="hybridMultilevel"/>
    <w:tmpl w:val="8A4ACE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05536E0"/>
    <w:multiLevelType w:val="hybridMultilevel"/>
    <w:tmpl w:val="E02214D2"/>
    <w:lvl w:ilvl="0" w:tplc="3EA8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2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0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A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A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64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6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7B6857"/>
    <w:multiLevelType w:val="hybridMultilevel"/>
    <w:tmpl w:val="279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6B4C"/>
    <w:multiLevelType w:val="hybridMultilevel"/>
    <w:tmpl w:val="02606E00"/>
    <w:lvl w:ilvl="0" w:tplc="4ED00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2A1A4">
      <w:start w:val="87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0B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A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8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0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8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2C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5643BA"/>
    <w:multiLevelType w:val="hybridMultilevel"/>
    <w:tmpl w:val="8A4ACE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D7B04F9"/>
    <w:multiLevelType w:val="hybridMultilevel"/>
    <w:tmpl w:val="E5D84906"/>
    <w:lvl w:ilvl="0" w:tplc="F46EE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2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2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4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E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0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893E3F"/>
    <w:multiLevelType w:val="hybridMultilevel"/>
    <w:tmpl w:val="5AFC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E0A"/>
    <w:rsid w:val="001802D6"/>
    <w:rsid w:val="001865A4"/>
    <w:rsid w:val="00213354"/>
    <w:rsid w:val="002702DB"/>
    <w:rsid w:val="00295A2C"/>
    <w:rsid w:val="00390A9D"/>
    <w:rsid w:val="003C7E09"/>
    <w:rsid w:val="00461440"/>
    <w:rsid w:val="00500579"/>
    <w:rsid w:val="0056429C"/>
    <w:rsid w:val="006D476B"/>
    <w:rsid w:val="00711BE9"/>
    <w:rsid w:val="00751393"/>
    <w:rsid w:val="007B0A92"/>
    <w:rsid w:val="007B47A8"/>
    <w:rsid w:val="007C46EB"/>
    <w:rsid w:val="008C2CCA"/>
    <w:rsid w:val="00B016F6"/>
    <w:rsid w:val="00B42DA6"/>
    <w:rsid w:val="00BD3412"/>
    <w:rsid w:val="00BD3E50"/>
    <w:rsid w:val="00BF3E0A"/>
    <w:rsid w:val="00CA3EA0"/>
    <w:rsid w:val="00D61FE2"/>
    <w:rsid w:val="00EC28AB"/>
    <w:rsid w:val="00F3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7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7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7.3194864141538042E-3"/>
          <c:y val="0.15755896962391103"/>
          <c:w val="0.99268058052725661"/>
          <c:h val="0.45223319397778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Вакансии</c:v>
                </c:pt>
              </c:strCache>
            </c:strRef>
          </c:tx>
          <c:explosion val="22"/>
          <c:dPt>
            <c:idx val="0"/>
            <c:explosion val="2"/>
          </c:dPt>
          <c:dLbls>
            <c:dLbl>
              <c:idx val="1"/>
              <c:layout>
                <c:manualLayout>
                  <c:x val="-5.9265676990685266E-2"/>
                  <c:y val="-7.0435189400084738E-2"/>
                </c:manualLayout>
              </c:layout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прочие вакансии 25%</c:v>
                </c:pt>
                <c:pt idx="1">
                  <c:v>рабочие специальности только с профессиональной компетенцией 7,5%</c:v>
                </c:pt>
                <c:pt idx="2">
                  <c:v>рабочие специальности  профессиональная + ключевая компетенции 67,5%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25</c:v>
                </c:pt>
                <c:pt idx="1">
                  <c:v>7.5</c:v>
                </c:pt>
                <c:pt idx="2">
                  <c:v>67.5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9.2118310794227234E-2"/>
          <c:y val="0.58707111626324671"/>
          <c:w val="0.81576337841154545"/>
          <c:h val="0.30623306830638963"/>
        </c:manualLayout>
      </c:layout>
    </c:legend>
    <c:plotVisOnly val="1"/>
    <c:dispBlanksAs val="zero"/>
  </c:chart>
  <c:spPr>
    <a:solidFill>
      <a:sysClr val="window" lastClr="FFFFFF"/>
    </a:solidFill>
    <a:ln w="28575" cap="flat" cmpd="sng" algn="ctr">
      <a:solidFill>
        <a:srgbClr val="C0504D"/>
      </a:solidFill>
      <a:prstDash val="solid"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Уровень мотивации.</a:t>
            </a:r>
          </a:p>
          <a:p>
            <a:pPr algn="ctr">
              <a:defRPr/>
            </a:pPr>
            <a:r>
              <a:rPr lang="ru-RU"/>
              <a:t>Экспериментальная группа.</a:t>
            </a:r>
          </a:p>
        </c:rich>
      </c:tx>
      <c:layout>
        <c:manualLayout>
          <c:xMode val="edge"/>
          <c:yMode val="edge"/>
          <c:x val="3.3820454859010717E-2"/>
          <c:y val="2.109259649862898E-2"/>
        </c:manualLayout>
      </c:layout>
    </c:title>
    <c:view3D>
      <c:perspective val="3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1291326053377602E-2"/>
          <c:y val="0.28437578265045227"/>
          <c:w val="0.93741734789324327"/>
          <c:h val="0.620721330096572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мотивации</c:v>
                </c:pt>
              </c:strCache>
            </c:strRef>
          </c:tx>
          <c:dLbls>
            <c:dLbl>
              <c:idx val="0"/>
              <c:layout>
                <c:manualLayout>
                  <c:x val="1.2441313979089774E-2"/>
                  <c:y val="-2.8311966662579666E-2"/>
                </c:manualLayout>
              </c:layout>
              <c:showVal val="1"/>
            </c:dLbl>
            <c:dLbl>
              <c:idx val="1"/>
              <c:layout>
                <c:manualLayout>
                  <c:x val="1.2441313979089774E-2"/>
                  <c:y val="-2.4267399996496828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2014</c:v>
                </c:pt>
                <c:pt idx="1">
                  <c:v>июнь 2015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0.82000000000000062</c:v>
                </c:pt>
                <c:pt idx="1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dLbls>
            <c:dLbl>
              <c:idx val="0"/>
              <c:layout>
                <c:manualLayout>
                  <c:x val="1.6588906168999443E-2"/>
                  <c:y val="-3.236245954692557E-2"/>
                </c:manualLayout>
              </c:layout>
              <c:showVal val="1"/>
            </c:dLbl>
            <c:dLbl>
              <c:idx val="1"/>
              <c:layout>
                <c:manualLayout>
                  <c:x val="1.2441313979089694E-2"/>
                  <c:y val="-3.2356533328662444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2014</c:v>
                </c:pt>
                <c:pt idx="1">
                  <c:v>июнь 2015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мотивации</c:v>
                </c:pt>
              </c:strCache>
            </c:strRef>
          </c:tx>
          <c:dLbls>
            <c:dLbl>
              <c:idx val="0"/>
              <c:layout>
                <c:manualLayout>
                  <c:x val="1.2441313979089774E-2"/>
                  <c:y val="-4.0445666660827946E-2"/>
                </c:manualLayout>
              </c:layout>
              <c:showVal val="1"/>
            </c:dLbl>
            <c:dLbl>
              <c:idx val="1"/>
              <c:layout>
                <c:manualLayout>
                  <c:x val="1.2441313979089774E-2"/>
                  <c:y val="-2.4267399996496828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2014</c:v>
                </c:pt>
                <c:pt idx="1">
                  <c:v>июнь 2015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0.36000000000000032</c:v>
                </c:pt>
              </c:numCache>
            </c:numRef>
          </c:val>
        </c:ser>
        <c:dLbls>
          <c:showVal val="1"/>
        </c:dLbls>
        <c:shape val="cylinder"/>
        <c:axId val="80888960"/>
        <c:axId val="80890496"/>
        <c:axId val="0"/>
      </c:bar3DChart>
      <c:catAx>
        <c:axId val="80888960"/>
        <c:scaling>
          <c:orientation val="minMax"/>
        </c:scaling>
        <c:axPos val="b"/>
        <c:majorTickMark val="none"/>
        <c:tickLblPos val="nextTo"/>
        <c:crossAx val="80890496"/>
        <c:crosses val="autoZero"/>
        <c:auto val="1"/>
        <c:lblAlgn val="ctr"/>
        <c:lblOffset val="100"/>
      </c:catAx>
      <c:valAx>
        <c:axId val="80890496"/>
        <c:scaling>
          <c:orientation val="minMax"/>
        </c:scaling>
        <c:delete val="1"/>
        <c:axPos val="l"/>
        <c:numFmt formatCode="0%" sourceLinked="1"/>
        <c:tickLblPos val="nextTo"/>
        <c:crossAx val="80888960"/>
        <c:crosses val="autoZero"/>
        <c:crossBetween val="between"/>
      </c:valAx>
      <c:spPr>
        <a:ln w="25400">
          <a:noFill/>
        </a:ln>
      </c:spPr>
    </c:plotArea>
    <c:legend>
      <c:legendPos val="t"/>
      <c:layout>
        <c:manualLayout>
          <c:xMode val="edge"/>
          <c:yMode val="edge"/>
          <c:x val="0.56679965157790069"/>
          <c:y val="3.4303869577998608E-2"/>
          <c:w val="0.42357416745649451"/>
          <c:h val="0.31298855519035723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мотивации.</a:t>
            </a:r>
          </a:p>
          <a:p>
            <a:pPr>
              <a:defRPr/>
            </a:pPr>
            <a:r>
              <a:rPr lang="ru-RU"/>
              <a:t>Контрольная группа.</a:t>
            </a:r>
          </a:p>
        </c:rich>
      </c:tx>
      <c:layout>
        <c:manualLayout>
          <c:xMode val="edge"/>
          <c:yMode val="edge"/>
          <c:x val="4.2057218683548704E-2"/>
          <c:y val="1.3425822331617841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3.0794638338244598E-2"/>
          <c:y val="0.32448739339553972"/>
          <c:w val="0.93841072332351083"/>
          <c:h val="0.581325100182505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мотивации</c:v>
                </c:pt>
              </c:strCache>
            </c:strRef>
          </c:tx>
          <c:dLbls>
            <c:dLbl>
              <c:idx val="0"/>
              <c:layout>
                <c:manualLayout>
                  <c:x val="1.4393232169472938E-2"/>
                  <c:y val="-1.677745954914873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6777459549148808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2014</c:v>
                </c:pt>
                <c:pt idx="1">
                  <c:v>июнь 2015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dLbls>
            <c:dLbl>
              <c:idx val="0"/>
              <c:layout>
                <c:manualLayout>
                  <c:x val="1.6450750565494551E-2"/>
                  <c:y val="-3.3557046979865786E-2"/>
                </c:manualLayout>
              </c:layout>
              <c:showVal val="1"/>
            </c:dLbl>
            <c:dLbl>
              <c:idx val="1"/>
              <c:layout>
                <c:manualLayout>
                  <c:x val="1.2337056145262601E-2"/>
                  <c:y val="-1.258309466186154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2014</c:v>
                </c:pt>
                <c:pt idx="1">
                  <c:v>июнь 2015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0.16</c:v>
                </c:pt>
                <c:pt idx="1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мотивации</c:v>
                </c:pt>
              </c:strCache>
            </c:strRef>
          </c:tx>
          <c:dLbls>
            <c:dLbl>
              <c:idx val="0"/>
              <c:layout>
                <c:manualLayout>
                  <c:x val="1.2337056145262523E-2"/>
                  <c:y val="-4.1943648872871775E-2"/>
                </c:manualLayout>
              </c:layout>
              <c:showVal val="1"/>
            </c:dLbl>
            <c:dLbl>
              <c:idx val="1"/>
              <c:layout>
                <c:manualLayout>
                  <c:x val="1.0280880121052103E-2"/>
                  <c:y val="-2.93605542110102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2014</c:v>
                </c:pt>
                <c:pt idx="1">
                  <c:v>июнь 2015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0.12000000000000002</c:v>
                </c:pt>
              </c:numCache>
            </c:numRef>
          </c:val>
        </c:ser>
        <c:dLbls>
          <c:showVal val="1"/>
        </c:dLbls>
        <c:shape val="cylinder"/>
        <c:axId val="81491456"/>
        <c:axId val="81492992"/>
        <c:axId val="0"/>
      </c:bar3DChart>
      <c:catAx>
        <c:axId val="81491456"/>
        <c:scaling>
          <c:orientation val="minMax"/>
        </c:scaling>
        <c:axPos val="b"/>
        <c:majorTickMark val="none"/>
        <c:tickLblPos val="nextTo"/>
        <c:crossAx val="81492992"/>
        <c:crosses val="autoZero"/>
        <c:auto val="1"/>
        <c:lblAlgn val="ctr"/>
        <c:lblOffset val="100"/>
      </c:catAx>
      <c:valAx>
        <c:axId val="8149299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81491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1169196734598308"/>
          <c:y val="2.1248282513343601E-2"/>
          <c:w val="0.36472871266866763"/>
          <c:h val="0.28108330564453382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2014</c:v>
                </c:pt>
              </c:strCache>
            </c:strRef>
          </c:tx>
          <c:dLbls>
            <c:dLbl>
              <c:idx val="0"/>
              <c:layout>
                <c:manualLayout>
                  <c:x val="1.02817191034341E-2"/>
                  <c:y val="-2.6138096275321286E-2"/>
                </c:manualLayout>
              </c:layout>
              <c:showVal val="1"/>
            </c:dLbl>
            <c:dLbl>
              <c:idx val="1"/>
              <c:layout>
                <c:manualLayout>
                  <c:x val="1.0280880121052103E-2"/>
                  <c:y val="-3.920118749073989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2014</c:v>
                </c:pt>
              </c:strCache>
            </c:strRef>
          </c:tx>
          <c:dLbls>
            <c:dLbl>
              <c:idx val="0"/>
              <c:layout>
                <c:manualLayout>
                  <c:x val="8.2247040968416868E-3"/>
                  <c:y val="-3.484549999176878E-2"/>
                </c:manualLayout>
              </c:layout>
              <c:showVal val="1"/>
            </c:dLbl>
            <c:dLbl>
              <c:idx val="1"/>
              <c:layout>
                <c:manualLayout>
                  <c:x val="1.4393232169473018E-2"/>
                  <c:y val="-2.6134124993826585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 2015</c:v>
                </c:pt>
              </c:strCache>
            </c:strRef>
          </c:tx>
          <c:dLbls>
            <c:dLbl>
              <c:idx val="0"/>
              <c:layout>
                <c:manualLayout>
                  <c:x val="1.6449408193683384E-2"/>
                  <c:y val="-4.3556874989710982E-2"/>
                </c:manualLayout>
              </c:layout>
              <c:showVal val="1"/>
            </c:dLbl>
            <c:dLbl>
              <c:idx val="1"/>
              <c:layout>
                <c:manualLayout>
                  <c:x val="1.6449408193683384E-2"/>
                  <c:y val="-4.355687498971098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0.68</c:v>
                </c:pt>
                <c:pt idx="1">
                  <c:v>0.58000000000000007</c:v>
                </c:pt>
              </c:numCache>
            </c:numRef>
          </c:val>
        </c:ser>
        <c:dLbls>
          <c:showVal val="1"/>
        </c:dLbls>
        <c:shape val="cylinder"/>
        <c:axId val="98121600"/>
        <c:axId val="98123136"/>
        <c:axId val="0"/>
      </c:bar3DChart>
      <c:catAx>
        <c:axId val="98121600"/>
        <c:scaling>
          <c:orientation val="minMax"/>
        </c:scaling>
        <c:axPos val="b"/>
        <c:majorTickMark val="none"/>
        <c:tickLblPos val="nextTo"/>
        <c:crossAx val="98123136"/>
        <c:crosses val="autoZero"/>
        <c:auto val="1"/>
        <c:lblAlgn val="ctr"/>
        <c:lblOffset val="100"/>
      </c:catAx>
      <c:valAx>
        <c:axId val="98123136"/>
        <c:scaling>
          <c:orientation val="minMax"/>
        </c:scaling>
        <c:delete val="1"/>
        <c:axPos val="l"/>
        <c:numFmt formatCode="0%" sourceLinked="1"/>
        <c:tickLblPos val="nextTo"/>
        <c:crossAx val="9812160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0.63604</cdr:x>
      <cdr:y>0.77786</cdr:y>
    </cdr:from>
    <cdr:to>
      <cdr:x>0.74352</cdr:x>
      <cdr:y>0.95427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10944" y="403177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Исполнительная">
    <a:dk1>
      <a:sysClr val="windowText" lastClr="000000"/>
    </a:dk1>
    <a:lt1>
      <a:sysClr val="window" lastClr="FFFFFF"/>
    </a:lt1>
    <a:dk2>
      <a:srgbClr val="2F5897"/>
    </a:dk2>
    <a:lt2>
      <a:srgbClr val="E4E9EF"/>
    </a:lt2>
    <a:accent1>
      <a:srgbClr val="6076B4"/>
    </a:accent1>
    <a:accent2>
      <a:srgbClr val="9C5252"/>
    </a:accent2>
    <a:accent3>
      <a:srgbClr val="E68422"/>
    </a:accent3>
    <a:accent4>
      <a:srgbClr val="846648"/>
    </a:accent4>
    <a:accent5>
      <a:srgbClr val="63891F"/>
    </a:accent5>
    <a:accent6>
      <a:srgbClr val="758085"/>
    </a:accent6>
    <a:hlink>
      <a:srgbClr val="3399FF"/>
    </a:hlink>
    <a:folHlink>
      <a:srgbClr val="B2B2B2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Исполнитель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8575" cap="flat" cmpd="sng" algn="ctr">
        <a:solidFill>
          <a:schemeClr val="phClr"/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50000">
            <a:schemeClr val="phClr">
              <a:tint val="80000"/>
              <a:satMod val="250000"/>
            </a:schemeClr>
          </a:gs>
          <a:gs pos="76000">
            <a:schemeClr val="phClr">
              <a:tint val="90000"/>
              <a:shade val="90000"/>
              <a:satMod val="200000"/>
            </a:schemeClr>
          </a:gs>
          <a:gs pos="92000">
            <a:schemeClr val="phClr">
              <a:tint val="90000"/>
              <a:shade val="70000"/>
              <a:satMod val="250000"/>
            </a:schemeClr>
          </a:gs>
        </a:gsLst>
        <a:path path="circle">
          <a:fillToRect l="50000" t="50000" r="50000" b="50000"/>
        </a:path>
      </a:gradFill>
      <a:blipFill>
        <a:blip xmlns:r="http://schemas.openxmlformats.org/officeDocument/2006/relationships" r:embed="rId1">
          <a:duotone>
            <a:schemeClr val="phClr">
              <a:tint val="95000"/>
            </a:schemeClr>
            <a:schemeClr val="phClr">
              <a:shade val="9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Исполнительная">
    <a:dk1>
      <a:sysClr val="windowText" lastClr="000000"/>
    </a:dk1>
    <a:lt1>
      <a:sysClr val="window" lastClr="FFFFFF"/>
    </a:lt1>
    <a:dk2>
      <a:srgbClr val="2F5897"/>
    </a:dk2>
    <a:lt2>
      <a:srgbClr val="E4E9EF"/>
    </a:lt2>
    <a:accent1>
      <a:srgbClr val="6076B4"/>
    </a:accent1>
    <a:accent2>
      <a:srgbClr val="9C5252"/>
    </a:accent2>
    <a:accent3>
      <a:srgbClr val="E68422"/>
    </a:accent3>
    <a:accent4>
      <a:srgbClr val="846648"/>
    </a:accent4>
    <a:accent5>
      <a:srgbClr val="63891F"/>
    </a:accent5>
    <a:accent6>
      <a:srgbClr val="758085"/>
    </a:accent6>
    <a:hlink>
      <a:srgbClr val="3399FF"/>
    </a:hlink>
    <a:folHlink>
      <a:srgbClr val="B2B2B2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Исполнитель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8575" cap="flat" cmpd="sng" algn="ctr">
        <a:solidFill>
          <a:schemeClr val="phClr"/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50000">
            <a:schemeClr val="phClr">
              <a:tint val="80000"/>
              <a:satMod val="250000"/>
            </a:schemeClr>
          </a:gs>
          <a:gs pos="76000">
            <a:schemeClr val="phClr">
              <a:tint val="90000"/>
              <a:shade val="90000"/>
              <a:satMod val="200000"/>
            </a:schemeClr>
          </a:gs>
          <a:gs pos="92000">
            <a:schemeClr val="phClr">
              <a:tint val="90000"/>
              <a:shade val="70000"/>
              <a:satMod val="250000"/>
            </a:schemeClr>
          </a:gs>
        </a:gsLst>
        <a:path path="circle">
          <a:fillToRect l="50000" t="50000" r="50000" b="50000"/>
        </a:path>
      </a:gradFill>
      <a:blipFill>
        <a:blip xmlns:r="http://schemas.openxmlformats.org/officeDocument/2006/relationships" r:embed="rId1">
          <a:duotone>
            <a:schemeClr val="phClr">
              <a:tint val="95000"/>
            </a:schemeClr>
            <a:schemeClr val="phClr">
              <a:shade val="90000"/>
            </a:schemeClr>
          </a:duotone>
        </a:blip>
        <a:tile tx="0" ty="0" sx="100000" sy="100000" flip="none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Исполнительная">
    <a:dk1>
      <a:sysClr val="windowText" lastClr="000000"/>
    </a:dk1>
    <a:lt1>
      <a:sysClr val="window" lastClr="FFFFFF"/>
    </a:lt1>
    <a:dk2>
      <a:srgbClr val="2F5897"/>
    </a:dk2>
    <a:lt2>
      <a:srgbClr val="E4E9EF"/>
    </a:lt2>
    <a:accent1>
      <a:srgbClr val="6076B4"/>
    </a:accent1>
    <a:accent2>
      <a:srgbClr val="9C5252"/>
    </a:accent2>
    <a:accent3>
      <a:srgbClr val="E68422"/>
    </a:accent3>
    <a:accent4>
      <a:srgbClr val="846648"/>
    </a:accent4>
    <a:accent5>
      <a:srgbClr val="63891F"/>
    </a:accent5>
    <a:accent6>
      <a:srgbClr val="758085"/>
    </a:accent6>
    <a:hlink>
      <a:srgbClr val="3399FF"/>
    </a:hlink>
    <a:folHlink>
      <a:srgbClr val="B2B2B2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Исполнитель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8575" cap="flat" cmpd="sng" algn="ctr">
        <a:solidFill>
          <a:schemeClr val="phClr"/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50000">
            <a:schemeClr val="phClr">
              <a:tint val="80000"/>
              <a:satMod val="250000"/>
            </a:schemeClr>
          </a:gs>
          <a:gs pos="76000">
            <a:schemeClr val="phClr">
              <a:tint val="90000"/>
              <a:shade val="90000"/>
              <a:satMod val="200000"/>
            </a:schemeClr>
          </a:gs>
          <a:gs pos="92000">
            <a:schemeClr val="phClr">
              <a:tint val="90000"/>
              <a:shade val="70000"/>
              <a:satMod val="250000"/>
            </a:schemeClr>
          </a:gs>
        </a:gsLst>
        <a:path path="circle">
          <a:fillToRect l="50000" t="50000" r="50000" b="50000"/>
        </a:path>
      </a:gradFill>
      <a:blipFill>
        <a:blip xmlns:r="http://schemas.openxmlformats.org/officeDocument/2006/relationships" r:embed="rId1">
          <a:duotone>
            <a:schemeClr val="phClr">
              <a:tint val="95000"/>
            </a:schemeClr>
            <a:schemeClr val="phClr">
              <a:shade val="90000"/>
            </a:schemeClr>
          </a:duotone>
        </a:blip>
        <a:tile tx="0" ty="0" sx="100000" sy="100000" flip="none" algn="tl"/>
      </a:blipFill>
    </a:bgFillStyleLst>
  </a:fmtScheme>
</a:themeOverride>
</file>

<file path=word/theme/themeOverride4.xml><?xml version="1.0" encoding="utf-8"?>
<a:themeOverride xmlns:a="http://schemas.openxmlformats.org/drawingml/2006/main">
  <a:clrScheme name="Исполнительная">
    <a:dk1>
      <a:sysClr val="windowText" lastClr="000000"/>
    </a:dk1>
    <a:lt1>
      <a:sysClr val="window" lastClr="FFFFFF"/>
    </a:lt1>
    <a:dk2>
      <a:srgbClr val="2F5897"/>
    </a:dk2>
    <a:lt2>
      <a:srgbClr val="E4E9EF"/>
    </a:lt2>
    <a:accent1>
      <a:srgbClr val="6076B4"/>
    </a:accent1>
    <a:accent2>
      <a:srgbClr val="9C5252"/>
    </a:accent2>
    <a:accent3>
      <a:srgbClr val="E68422"/>
    </a:accent3>
    <a:accent4>
      <a:srgbClr val="846648"/>
    </a:accent4>
    <a:accent5>
      <a:srgbClr val="63891F"/>
    </a:accent5>
    <a:accent6>
      <a:srgbClr val="758085"/>
    </a:accent6>
    <a:hlink>
      <a:srgbClr val="3399FF"/>
    </a:hlink>
    <a:folHlink>
      <a:srgbClr val="B2B2B2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Исполнитель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8575" cap="flat" cmpd="sng" algn="ctr">
        <a:solidFill>
          <a:schemeClr val="phClr"/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50000">
            <a:schemeClr val="phClr">
              <a:tint val="80000"/>
              <a:satMod val="250000"/>
            </a:schemeClr>
          </a:gs>
          <a:gs pos="76000">
            <a:schemeClr val="phClr">
              <a:tint val="90000"/>
              <a:shade val="90000"/>
              <a:satMod val="200000"/>
            </a:schemeClr>
          </a:gs>
          <a:gs pos="92000">
            <a:schemeClr val="phClr">
              <a:tint val="90000"/>
              <a:shade val="70000"/>
              <a:satMod val="250000"/>
            </a:schemeClr>
          </a:gs>
        </a:gsLst>
        <a:path path="circle">
          <a:fillToRect l="50000" t="50000" r="50000" b="50000"/>
        </a:path>
      </a:gradFill>
      <a:blipFill>
        <a:blip xmlns:r="http://schemas.openxmlformats.org/officeDocument/2006/relationships" r:embed="rId1">
          <a:duotone>
            <a:schemeClr val="phClr">
              <a:tint val="95000"/>
            </a:schemeClr>
            <a:schemeClr val="phClr">
              <a:shade val="90000"/>
            </a:schemeClr>
          </a:duotone>
        </a:blip>
        <a:tile tx="0" ty="0" sx="100000" sy="100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User_WS</dc:creator>
  <cp:lastModifiedBy>Админ</cp:lastModifiedBy>
  <cp:revision>17</cp:revision>
  <dcterms:created xsi:type="dcterms:W3CDTF">2016-03-12T14:20:00Z</dcterms:created>
  <dcterms:modified xsi:type="dcterms:W3CDTF">2016-06-03T05:15:00Z</dcterms:modified>
</cp:coreProperties>
</file>