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0C" w:rsidRPr="00A73270" w:rsidRDefault="001E1847" w:rsidP="00ED3F6D">
      <w:pPr>
        <w:pStyle w:val="a8"/>
        <w:ind w:left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КОРРЕКЦИЯ ПСИХОФИЗИЧЕСКОГО СОСТОЯНИЯ</w:t>
      </w:r>
      <w:r w:rsidR="001947DC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 КАК ЭЛЕМЕНТ ПОДГОТОВКИ БУДУЩИХ</w:t>
      </w:r>
      <w:r w:rsidR="00A73270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СПЕЦИАЛИСТОВ СЕСТРИНСКОГО ДЕЛА</w:t>
      </w:r>
    </w:p>
    <w:p w:rsidR="00A73270" w:rsidRPr="00A73270" w:rsidRDefault="00A73270" w:rsidP="00A73270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270" w:rsidRPr="00A73270" w:rsidRDefault="00A73270" w:rsidP="00A73270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270" w:rsidRPr="00A73270" w:rsidRDefault="00A73270" w:rsidP="00A73270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Муканова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Мапиковна</w:t>
      </w:r>
      <w:proofErr w:type="spellEnd"/>
    </w:p>
    <w:p w:rsidR="001E1847" w:rsidRPr="00A73270" w:rsidRDefault="00A73270" w:rsidP="00A73270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ГБПОУ «Челябинский медицинский колледж»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0E0C" w:rsidRPr="00A73270" w:rsidRDefault="00860E0C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 развитием экономики и производственными рисками проблема профессиональной заболеваемости приобретает сегодня всё большую актуальность. Из профессиональных групп наименее изучена в этом отношении группа медицинских работников, особенно медицинских сестёр.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Из факторов риска для здоровья медицинского персонала наиболее мощным по силе отрицательного воздействия является эмоциональный стресс, который обусловлен специфическими психоэмоциональными особенностями труда медицинских работников, и ведущий к перенапряжению регуляторных механизмов и снижению адаптационных возможностей организма [2].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чем выше адаптационные возможности организма, тем меньше риск болезни [6]. Показано [1], что у данной профессиональной группы снижена стрессоустойчивость и нарушена адаптация к изменениям внешней и внутренней среды. Причиной являются условия труда медсестер: превышение нормативного числа пациентов, большой объем канцелярско-оформительской работы, низкая техническая оснащенность рабочего места, постоянный дефицит лекарственных средств, низкая оплата труда, ответственность за жизнь и здоровье пациентов. Из эргономических факторов труда медсестер можно отметить напряжение зрения, перегрузку опорно-двигательного аппарата.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способности регуляторных систем мобилизовать необходимые функциональные резервы, позволяющие обеспечивать «физиологическую меру защиты» организма от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стрессорных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воздействий и поддерживать состояние удовлетворительной адаптации, необходима коррекция психофизиологического состояния [4]. Однако, несмотря на высокую психоэмоциональную нагрузку персонала, в лечебных учреждениях недостаточно используются профилактические средства, в том числе средства психофизической регуляции, которые могут предупредить развитие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и профессионального выгорания медицинских сестёр.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Цель данной работы – изучение динамики психофизиологического состояния медицинских сестёр после внедрения курса релаксационных упражнений. </w:t>
      </w:r>
    </w:p>
    <w:p w:rsidR="001E1847" w:rsidRPr="00A73270" w:rsidRDefault="001E1847" w:rsidP="00860E0C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Материалы и методы исследования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В группу «релаксации» вошли 15 медицинских сестёр 25–40 лет. Контрольную группу составили медицинские сестры того же возраста, не занимающиеся по программе релаксации. Функциональное состояние </w:t>
      </w:r>
      <w:proofErr w:type="gram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>, центральной нервной и психоэмоциональной систем оценивали при помощи компьютерной регистрации психомоторных реакций («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Нейротест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»), самооценки уровня тревожности по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Спилбергеру‒Ханину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САН по В.А. 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Доскину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теппинг-теста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кинематометрии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измерения ЧСС и АД по Короткову.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Кроме обычных методов обучения релаксации мышц, программа включала психофизические упражнения (ПФУ) на концентрацию внимания и визуализацию, дыхательные упражнения, пластические упражнения кисти и пальцев рук по Поповой Т.В. [5]. Продолжительность занятий составляла по 5–10 мин 3 раза в неделю в течение месяца. </w:t>
      </w:r>
    </w:p>
    <w:p w:rsidR="001E1847" w:rsidRPr="00A73270" w:rsidRDefault="001E1847" w:rsidP="00860E0C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Результаты исследования и их обсуждение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исследования показали, что после выполнения ПФУ показатели точности движения заметно возросли, ошибка воспроизведения уменьшилась с 4,4 ± 0,8 до 1,6 ± 0,4 град. После ПФУ у всех испытуемых в той или иной степени отмечалось также снижение показателей ЧСС и АД, увеличение подвижности и снижение утомляемости в центральной нервной системе по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теппинг-тесту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(табл. 1). </w:t>
      </w:r>
      <w:proofErr w:type="gramEnd"/>
    </w:p>
    <w:p w:rsidR="001E1847" w:rsidRPr="00A73270" w:rsidRDefault="001E1847" w:rsidP="00860E0C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1E1847" w:rsidRPr="00A73270" w:rsidRDefault="001E1847" w:rsidP="00860E0C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Изменение функциональных показателей после ПФУ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"/>
        <w:gridCol w:w="1152"/>
        <w:gridCol w:w="1032"/>
        <w:gridCol w:w="1032"/>
        <w:gridCol w:w="1152"/>
        <w:gridCol w:w="1152"/>
        <w:gridCol w:w="1152"/>
        <w:gridCol w:w="1167"/>
      </w:tblGrid>
      <w:tr w:rsidR="001E1847" w:rsidRPr="00A73270" w:rsidTr="001E184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ПФУ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ПФУ </w:t>
            </w:r>
          </w:p>
        </w:tc>
      </w:tr>
      <w:tr w:rsidR="001E1847" w:rsidRPr="00A73270" w:rsidTr="001E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ЧСС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ЧСС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АДп</w:t>
            </w:r>
            <w:proofErr w:type="spellEnd"/>
          </w:p>
        </w:tc>
      </w:tr>
      <w:tr w:rsidR="001E1847" w:rsidRPr="00A73270" w:rsidTr="001E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73,2 ± 3,2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119,3 ± 4,1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74,5 ± 2,2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45,2 ± 1,8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63,2 ± 2,3*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110,5 ± 3,7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69,7 ± 2,4*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41,3 ± 1,9 </w:t>
            </w:r>
          </w:p>
        </w:tc>
      </w:tr>
      <w:tr w:rsidR="001E1847" w:rsidRPr="00A73270" w:rsidTr="001E1847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Теппинг-тест</w:t>
            </w:r>
            <w:proofErr w:type="spellEnd"/>
          </w:p>
        </w:tc>
      </w:tr>
      <w:tr w:rsidR="001E1847" w:rsidRPr="00A73270" w:rsidTr="001E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E1847" w:rsidRPr="00A73270" w:rsidTr="001E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56,6 ± 3,6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54,6 ± 2,8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54,8 ± 3,6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45,8 ± 2,1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59,8 ± 3,5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56,6 ± 2,8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58,2 ± 3,7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57,3 ± 2,6* </w:t>
            </w:r>
          </w:p>
        </w:tc>
      </w:tr>
    </w:tbl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1–4 – квадраты; * – отмечены достоверные различия с исходными показателями.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У всех испытуемых на всех периодах проводимого теста достоверно увеличилась частота движений, что говорит о прогрессивном улучшении функционального состояния двигательного аппарата и подвижности нервных процессов.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О благоприятном влиянии релаксационных упражнений на нейродинамические функции свидетельствует улучшение большинства показателей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нейротеста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: 1 (простая зрительно-моторная реакция), 3 (реакция различения), 5 тестов (помехоустойчивость). Характерно, что на фоне повышения скорости большинства психомоторных реакций после ПФУ отмечалось выраженное снижение скорости реакций на распределение внимания (табл. 2). </w:t>
      </w:r>
    </w:p>
    <w:p w:rsidR="001E1847" w:rsidRPr="00A73270" w:rsidRDefault="001E1847" w:rsidP="00860E0C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1E1847" w:rsidRPr="00A73270" w:rsidRDefault="001E1847" w:rsidP="00860E0C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Изменение показателей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ПФУ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1523"/>
        <w:gridCol w:w="1523"/>
        <w:gridCol w:w="1411"/>
        <w:gridCol w:w="1411"/>
        <w:gridCol w:w="1523"/>
        <w:gridCol w:w="1649"/>
      </w:tblGrid>
      <w:tr w:rsidR="001E1847" w:rsidRPr="00A73270" w:rsidTr="001E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1E1847" w:rsidRPr="00A73270" w:rsidTr="001E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ПФУ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331,06 ± 15,20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470,12 ± 13,02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528,47 ± 22,02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364,33 ± 19,80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375,07 ± 19,50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1481,08 ± 34,20 </w:t>
            </w:r>
          </w:p>
        </w:tc>
      </w:tr>
      <w:tr w:rsidR="001E1847" w:rsidRPr="00A73270" w:rsidTr="001E18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 ПФУ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290,07 ± 12,30*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437,17 ± 14,20*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503,17 ± 15,40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486,31 ± 20,40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341,80 ± 15,40* </w:t>
            </w:r>
          </w:p>
        </w:tc>
        <w:tc>
          <w:tcPr>
            <w:tcW w:w="0" w:type="auto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1700,14 ± 40,50* </w:t>
            </w:r>
          </w:p>
        </w:tc>
      </w:tr>
    </w:tbl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* – отмечены достоверные различия с исходными показателями. </w:t>
      </w:r>
    </w:p>
    <w:p w:rsidR="00860E0C" w:rsidRPr="00A73270" w:rsidRDefault="00860E0C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данные компьютерного тестирования свидетельствуют о выраженном тормозном влиянии ПФУ на вегетативные функции и стимулирующим их влияние на восстановительные процессы в центральной нервной системе.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При исследовании самооценки психоэмоционального состояния по опроснику САН выявлено значительное повышение самочувствия и настроения у испытуемых после ПФУ; показатели же активности практически не изменились.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Повышенная тревожность, определяемая по методике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Спилбергера‒Ханина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выявлена у большинства медицинских сестёр, что свидетельствует о значительном психоэмоциональном напряжении. Известно, что тревога препятствует формированию нормального адаптивного поведения и вызывает чрезмерные функциональные сдвиги [3]. Повышенная тревожность, вызываемая стрессорами, приводит к усилению стресса, развитию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дистресса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и различным психосоматическим заболеваниям. После ПФУ результаты оценки уровня тревожности у медицинских сестёр показали, что уровень как личностной, так и ситуативной тревожности значительно снизился (табл. 3). </w:t>
      </w:r>
    </w:p>
    <w:p w:rsidR="001E1847" w:rsidRPr="00A73270" w:rsidRDefault="001E1847" w:rsidP="00860E0C">
      <w:pPr>
        <w:pStyle w:val="a8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1E1847" w:rsidRPr="00A73270" w:rsidRDefault="001E1847" w:rsidP="00860E0C">
      <w:pPr>
        <w:pStyle w:val="a8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Динамика показателей психоэмоционального статуса медицинских сестер после ПФУ</w:t>
      </w:r>
    </w:p>
    <w:tbl>
      <w:tblPr>
        <w:tblW w:w="0" w:type="auto"/>
        <w:tblCellSpacing w:w="15" w:type="dxa"/>
        <w:tblInd w:w="10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  <w:gridCol w:w="1810"/>
        <w:gridCol w:w="2279"/>
      </w:tblGrid>
      <w:tr w:rsidR="001E1847" w:rsidRPr="00A73270" w:rsidTr="00860E0C">
        <w:trPr>
          <w:tblCellSpacing w:w="15" w:type="dxa"/>
        </w:trPr>
        <w:tc>
          <w:tcPr>
            <w:tcW w:w="2964" w:type="dxa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780" w:type="dxa"/>
            <w:vAlign w:val="center"/>
            <w:hideMark/>
          </w:tcPr>
          <w:p w:rsidR="001E1847" w:rsidRPr="00A73270" w:rsidRDefault="001E1847" w:rsidP="00860E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ПФУ</w:t>
            </w:r>
          </w:p>
        </w:tc>
        <w:tc>
          <w:tcPr>
            <w:tcW w:w="2234" w:type="dxa"/>
            <w:vAlign w:val="center"/>
            <w:hideMark/>
          </w:tcPr>
          <w:p w:rsidR="001E1847" w:rsidRPr="00A73270" w:rsidRDefault="001E1847" w:rsidP="00860E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ПФУ</w:t>
            </w:r>
          </w:p>
        </w:tc>
      </w:tr>
      <w:tr w:rsidR="001E1847" w:rsidRPr="00A73270" w:rsidTr="00860E0C">
        <w:trPr>
          <w:tblCellSpacing w:w="15" w:type="dxa"/>
        </w:trPr>
        <w:tc>
          <w:tcPr>
            <w:tcW w:w="2964" w:type="dxa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Личностная тревожность</w:t>
            </w:r>
          </w:p>
        </w:tc>
        <w:tc>
          <w:tcPr>
            <w:tcW w:w="1780" w:type="dxa"/>
            <w:vAlign w:val="center"/>
            <w:hideMark/>
          </w:tcPr>
          <w:p w:rsidR="001E1847" w:rsidRPr="00A73270" w:rsidRDefault="001E1847" w:rsidP="00860E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 ± 3,2</w:t>
            </w:r>
          </w:p>
        </w:tc>
        <w:tc>
          <w:tcPr>
            <w:tcW w:w="2234" w:type="dxa"/>
            <w:vAlign w:val="center"/>
            <w:hideMark/>
          </w:tcPr>
          <w:p w:rsidR="001E1847" w:rsidRPr="00A73270" w:rsidRDefault="001E1847" w:rsidP="00860E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 ± 3,0*</w:t>
            </w:r>
          </w:p>
        </w:tc>
      </w:tr>
      <w:tr w:rsidR="001E1847" w:rsidRPr="00A73270" w:rsidTr="00860E0C">
        <w:trPr>
          <w:trHeight w:val="467"/>
          <w:tblCellSpacing w:w="15" w:type="dxa"/>
        </w:trPr>
        <w:tc>
          <w:tcPr>
            <w:tcW w:w="2964" w:type="dxa"/>
            <w:vAlign w:val="center"/>
            <w:hideMark/>
          </w:tcPr>
          <w:p w:rsidR="001E1847" w:rsidRPr="00A73270" w:rsidRDefault="001E1847" w:rsidP="00860E0C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Реактивная тревожность</w:t>
            </w:r>
          </w:p>
        </w:tc>
        <w:tc>
          <w:tcPr>
            <w:tcW w:w="1780" w:type="dxa"/>
            <w:vAlign w:val="center"/>
            <w:hideMark/>
          </w:tcPr>
          <w:p w:rsidR="001E1847" w:rsidRPr="00A73270" w:rsidRDefault="001E1847" w:rsidP="00860E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 ± 2,9</w:t>
            </w:r>
          </w:p>
        </w:tc>
        <w:tc>
          <w:tcPr>
            <w:tcW w:w="2234" w:type="dxa"/>
            <w:vAlign w:val="center"/>
            <w:hideMark/>
          </w:tcPr>
          <w:p w:rsidR="001E1847" w:rsidRPr="00A73270" w:rsidRDefault="001E1847" w:rsidP="00860E0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 ± 3,5*</w:t>
            </w:r>
          </w:p>
        </w:tc>
      </w:tr>
    </w:tbl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Примечание: * – отмечены достоверные различия с исходными показателями. </w:t>
      </w:r>
    </w:p>
    <w:p w:rsidR="00860E0C" w:rsidRPr="00A73270" w:rsidRDefault="00860E0C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847" w:rsidRPr="00A73270" w:rsidRDefault="001E1847" w:rsidP="00860E0C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Показано [4], что на электроэнцефалограммах испытуемых во время выполнения ПФУ выявляются определенные изменения. В заключительный период формирования состояния релаксации наблюдалась ярко выраженная генерализация альф</w:t>
      </w:r>
      <w:proofErr w:type="gram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тета-ритма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в низкочастотной области (8 Гц) с небольшим преобладанием мощности в правом </w:t>
      </w:r>
      <w:proofErr w:type="gram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полушарии</w:t>
      </w:r>
      <w:proofErr w:type="gram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. Необходимо отметить, что испытуемые данное состояние характеризовали как состояние эйфории. После выхода из состояния релаксации испытуемые ощущали себя </w:t>
      </w:r>
      <w:proofErr w:type="gram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отдохнувшими</w:t>
      </w:r>
      <w:proofErr w:type="gram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полными сил и энергии. Эти данные свидетельствуют, что занятия психофизическими упражнениями вызывают изменения функционального состояния, которые характеризуются нормализацией как вегетативных функций, корково-подкорковых взаимоотношений, так и психоэмоционального состояния. </w:t>
      </w:r>
    </w:p>
    <w:p w:rsidR="00525A66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анализ данных исследования свидетельствует о выраженном тормозном влиянии релаксационных упражнений на вегетативные функции и стимулирующем их влиянии на восстановительные процессы. </w:t>
      </w:r>
    </w:p>
    <w:p w:rsidR="00525A66" w:rsidRPr="00A73270" w:rsidRDefault="00B6340E" w:rsidP="00E14AEB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>С целью ранней профилактики психосоматических нарушений и профессионального выгорания необходимо внедрять</w:t>
      </w:r>
      <w:r w:rsidR="001947DC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270">
        <w:rPr>
          <w:rFonts w:ascii="Times New Roman" w:hAnsi="Times New Roman" w:cs="Times New Roman"/>
          <w:sz w:val="24"/>
          <w:szCs w:val="24"/>
          <w:lang w:eastAsia="ru-RU"/>
        </w:rPr>
        <w:t>оздоровительно-коррекционную</w:t>
      </w:r>
      <w:r w:rsidR="001947DC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3270">
        <w:rPr>
          <w:rFonts w:ascii="Times New Roman" w:hAnsi="Times New Roman" w:cs="Times New Roman"/>
          <w:sz w:val="24"/>
          <w:szCs w:val="24"/>
          <w:lang w:eastAsia="ru-RU"/>
        </w:rPr>
        <w:t>программу</w:t>
      </w:r>
      <w:r w:rsidR="001947DC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6D7" w:rsidRPr="00A7327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73270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</w:t>
      </w:r>
      <w:r w:rsidR="001947DC" w:rsidRPr="00A73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AEB" w:rsidRPr="00A73270">
        <w:rPr>
          <w:rFonts w:ascii="Times New Roman" w:hAnsi="Times New Roman" w:cs="Times New Roman"/>
          <w:sz w:val="24"/>
          <w:szCs w:val="24"/>
          <w:lang w:eastAsia="ru-RU"/>
        </w:rPr>
        <w:t>специалистов сестринского дела.</w:t>
      </w:r>
    </w:p>
    <w:p w:rsidR="00525A66" w:rsidRPr="00A73270" w:rsidRDefault="00525A66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5A66" w:rsidRPr="00A73270" w:rsidRDefault="00525A66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Рецензенты: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Павлова В.И., </w:t>
      </w:r>
      <w:proofErr w:type="gram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.н., профессор кафедры ТОФК, ЧГПУ, г. Челябинск;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Колосова О.С., д.м.н., профессор, зав. кафедрой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СиКП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3270">
        <w:rPr>
          <w:rFonts w:ascii="Times New Roman" w:hAnsi="Times New Roman" w:cs="Times New Roman"/>
          <w:sz w:val="24"/>
          <w:szCs w:val="24"/>
          <w:lang w:eastAsia="ru-RU"/>
        </w:rPr>
        <w:t>ЧелГУ</w:t>
      </w:r>
      <w:proofErr w:type="spellEnd"/>
      <w:r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г. Челябинск.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1847" w:rsidRPr="00A73270" w:rsidRDefault="00ED3F6D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писки литературы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E1847" w:rsidRPr="00A73270" w:rsidRDefault="00ED3F6D" w:rsidP="00ED3F6D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Акарачкова Е.С. Хронический стресс и нарушение адаптации у медицинских работников // Трудный пациент. – 2006. – № 8. – С. 65–70. </w:t>
      </w:r>
    </w:p>
    <w:p w:rsidR="001E1847" w:rsidRPr="00A73270" w:rsidRDefault="00ED3F6D" w:rsidP="00ED3F6D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Бобрецов С.В. Подходы к формированию здорового образа жизни у сестринского персонала / С. В.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Бобрецова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Заросликова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В.А., Плаксин // Сестринское дело, 2008. – № 8. – С. 5–8. </w:t>
      </w:r>
    </w:p>
    <w:p w:rsidR="001E1847" w:rsidRPr="00A73270" w:rsidRDefault="00ED3F6D" w:rsidP="00ED3F6D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Ильин Е.П. Дифференциальная психология профессиональной деятельности. – СПб</w:t>
      </w:r>
      <w:proofErr w:type="gram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Питер, 2008. – 432с. </w:t>
      </w:r>
    </w:p>
    <w:p w:rsidR="001E1847" w:rsidRPr="00A73270" w:rsidRDefault="00ED3F6D" w:rsidP="00ED3F6D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Попова Т.В. Особенности адаптационных реакций организма на психофизические релаксационные упражнения у студентов 18–21 лет / Т.В. Попова, Ю.И.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Корюкалов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О.Г.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Коурова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// Оздоровительные технологии XXI века : мат.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науч</w:t>
      </w:r>
      <w:proofErr w:type="gram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., Челябинск, 3–5 декабря 2002. – Челябинск, 2002. – С. 82–85. </w:t>
      </w:r>
    </w:p>
    <w:p w:rsidR="001E1847" w:rsidRPr="00A73270" w:rsidRDefault="00ED3F6D" w:rsidP="00ED3F6D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Попова Т.В.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функциональных состояний. – Челябинск: Изд-во </w:t>
      </w:r>
      <w:proofErr w:type="spell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ЮУрГУ</w:t>
      </w:r>
      <w:proofErr w:type="spell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, 2007. – 160 </w:t>
      </w:r>
      <w:proofErr w:type="gramStart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E1847" w:rsidRPr="00A73270" w:rsidRDefault="00ED3F6D" w:rsidP="00ED3F6D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1E1847" w:rsidRPr="00A73270">
        <w:rPr>
          <w:rFonts w:ascii="Times New Roman" w:hAnsi="Times New Roman" w:cs="Times New Roman"/>
          <w:sz w:val="24"/>
          <w:szCs w:val="24"/>
          <w:lang w:eastAsia="ru-RU"/>
        </w:rPr>
        <w:t xml:space="preserve">Ульянинский Л.С. Эмоциональный стресс: теоретические и клинические аспекты: сб. ст. / под ред. К.В. Судакова, В.И. Петрова. – Волгоград: Комитет по печати и информации, 1997. – С. 112–113. </w:t>
      </w:r>
    </w:p>
    <w:p w:rsidR="001E1847" w:rsidRPr="00A73270" w:rsidRDefault="001E1847" w:rsidP="00860E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0831" w:rsidRPr="00860E0C" w:rsidRDefault="002C0831" w:rsidP="00860E0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0831" w:rsidRPr="00860E0C" w:rsidSect="00A73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54317"/>
    <w:multiLevelType w:val="hybridMultilevel"/>
    <w:tmpl w:val="972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11608"/>
    <w:multiLevelType w:val="hybridMultilevel"/>
    <w:tmpl w:val="AC944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47"/>
    <w:rsid w:val="000F1701"/>
    <w:rsid w:val="001947DC"/>
    <w:rsid w:val="001E1847"/>
    <w:rsid w:val="002336D7"/>
    <w:rsid w:val="002C0831"/>
    <w:rsid w:val="00305105"/>
    <w:rsid w:val="00525A66"/>
    <w:rsid w:val="00860E0C"/>
    <w:rsid w:val="008E0754"/>
    <w:rsid w:val="00A73270"/>
    <w:rsid w:val="00B6340E"/>
    <w:rsid w:val="00E14AEB"/>
    <w:rsid w:val="00E722CF"/>
    <w:rsid w:val="00ED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1847"/>
    <w:rPr>
      <w:color w:val="0000FF"/>
      <w:u w:val="single"/>
    </w:rPr>
  </w:style>
  <w:style w:type="character" w:styleId="a5">
    <w:name w:val="Strong"/>
    <w:basedOn w:val="a0"/>
    <w:uiPriority w:val="22"/>
    <w:qFormat/>
    <w:rsid w:val="001E1847"/>
    <w:rPr>
      <w:b/>
      <w:bCs/>
    </w:rPr>
  </w:style>
  <w:style w:type="character" w:customStyle="1" w:styleId="count">
    <w:name w:val="count"/>
    <w:basedOn w:val="a0"/>
    <w:rsid w:val="001E1847"/>
  </w:style>
  <w:style w:type="paragraph" w:styleId="a6">
    <w:name w:val="Balloon Text"/>
    <w:basedOn w:val="a"/>
    <w:link w:val="a7"/>
    <w:uiPriority w:val="99"/>
    <w:semiHidden/>
    <w:unhideWhenUsed/>
    <w:rsid w:val="001E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84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0E0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25A6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19">
          <w:marLeft w:val="0"/>
          <w:marRight w:val="0"/>
          <w:marTop w:val="0"/>
          <w:marBottom w:val="0"/>
          <w:divBdr>
            <w:top w:val="dashed" w:sz="6" w:space="7" w:color="EEEEEE"/>
            <w:left w:val="dashed" w:sz="6" w:space="7" w:color="EEEEEE"/>
            <w:bottom w:val="dashed" w:sz="6" w:space="7" w:color="EEEEEE"/>
            <w:right w:val="dashed" w:sz="6" w:space="7" w:color="EEEEEE"/>
          </w:divBdr>
          <w:divsChild>
            <w:div w:id="8051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Notebook2</cp:lastModifiedBy>
  <cp:revision>10</cp:revision>
  <dcterms:created xsi:type="dcterms:W3CDTF">2012-12-11T07:28:00Z</dcterms:created>
  <dcterms:modified xsi:type="dcterms:W3CDTF">2016-10-18T09:47:00Z</dcterms:modified>
</cp:coreProperties>
</file>