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8E" w:rsidRDefault="00F2598E" w:rsidP="00F259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8E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ПСИХОЛОГО-ПЕДАГОГИЧЕСКОЕ СОПРОВОЖДЕНИЕ </w:t>
      </w:r>
      <w:proofErr w:type="gramStart"/>
      <w:r w:rsidRPr="00F2598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2598E"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 ЗДОРОВЬЯ ПО ЗРЕНИЮ </w:t>
      </w:r>
    </w:p>
    <w:p w:rsidR="00F2598E" w:rsidRDefault="00F2598E" w:rsidP="00F259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8E">
        <w:rPr>
          <w:rFonts w:ascii="Times New Roman" w:hAnsi="Times New Roman" w:cs="Times New Roman"/>
          <w:b/>
          <w:sz w:val="24"/>
          <w:szCs w:val="24"/>
        </w:rPr>
        <w:t>(НА ПРИМЕРЕ КГБПОУ «ХАБАРОВСКИЙ ГОСУДАРСТВЕННЫЙ МЕДИЦИНСКИЙ КОЛЛЕДЖ»)</w:t>
      </w:r>
    </w:p>
    <w:p w:rsidR="00F2598E" w:rsidRDefault="00F2598E" w:rsidP="00F259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98E" w:rsidRPr="00F2598E" w:rsidRDefault="00F2598E" w:rsidP="00F259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Лунина Юлия Владимировна</w:t>
      </w:r>
    </w:p>
    <w:p w:rsidR="00F2598E" w:rsidRPr="00F2598E" w:rsidRDefault="00F2598E" w:rsidP="00F259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 первой квалификационной категории</w:t>
      </w:r>
    </w:p>
    <w:p w:rsidR="00F2598E" w:rsidRPr="00F2598E" w:rsidRDefault="00F2598E" w:rsidP="00F259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Краевое государственное бюджетное профессиональное образовательное учреждение «Хабаровский государственный медицинский колледж»</w:t>
      </w:r>
    </w:p>
    <w:p w:rsidR="00F2598E" w:rsidRPr="00F2598E" w:rsidRDefault="00F2598E" w:rsidP="00F259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98E" w:rsidRPr="00F2598E" w:rsidRDefault="00F2598E" w:rsidP="00F259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Инклюзивное образование является на сегодняшний день приоритетным направлением развития системы образования России. Этот процесс требует осознания смысла, ценностей инклюзии, а также разработки методических и практических материалов, активного, последовательного распространения наиболее успешного опыта</w:t>
      </w: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Оценка инклюзивного процесса в образовательной организации (ОО) является актуальной задачей современной отечественной педагогической науки и практики, поскольку позволяет обеспечить выполнение законодательных норм в сфере инклюзивного образования, а также наметить определенные механизмы совершенствования практики реализации инклюзивного образовательного процесса.</w:t>
      </w: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В составе базовых индикаторов состояния инклюзивной среды в КГБПОУ ХГМК выделяются следующие компоненты:</w:t>
      </w: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1. Обеспечение высоких ожиданий от всех обучающихся и минимизация дискомфорта для каждого члена инклюзивной группы.</w:t>
      </w: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2. Формирование чувства принадлежности к студенческому коллективу и реальное участие каждого субъекта образовательного процесса в жизни колледжа.</w:t>
      </w: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4. Формирование доступной учебной среды и методов обучения.</w:t>
      </w: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5. Обеспечение необходимых форм поддержки.</w:t>
      </w: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6. Непрерывность процедур оценивания и комплексная оценка процесса обучения.</w:t>
      </w: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 xml:space="preserve">8. Опора на ценности взаимодействия и рационального распределения </w:t>
      </w:r>
    </w:p>
    <w:p w:rsidR="009B254E" w:rsidRPr="009B254E" w:rsidRDefault="009B254E" w:rsidP="009B2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существующих ресурсов.</w:t>
      </w: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 xml:space="preserve">9. Командный подход к разрешению проблемных ситуаций в условиях </w:t>
      </w:r>
    </w:p>
    <w:p w:rsidR="009B254E" w:rsidRPr="009B254E" w:rsidRDefault="009B254E" w:rsidP="009B2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инклюзии.</w:t>
      </w: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 xml:space="preserve">10. Ориентация на построение социального взаимодействия, культуры </w:t>
      </w:r>
    </w:p>
    <w:p w:rsidR="009B254E" w:rsidRPr="009B254E" w:rsidRDefault="009B254E" w:rsidP="009B2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общения, диалога и дружеских взаимоотношений в инклюзивном коллективе.</w:t>
      </w: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 xml:space="preserve">11. Опора на систему планирования и подготовку </w:t>
      </w:r>
      <w:proofErr w:type="gramStart"/>
      <w:r w:rsidRPr="009B25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254E">
        <w:rPr>
          <w:rFonts w:ascii="Times New Roman" w:hAnsi="Times New Roman" w:cs="Times New Roman"/>
          <w:sz w:val="24"/>
          <w:szCs w:val="24"/>
        </w:rPr>
        <w:t xml:space="preserve"> к </w:t>
      </w:r>
    </w:p>
    <w:p w:rsidR="009B254E" w:rsidRPr="009B254E" w:rsidRDefault="009B254E" w:rsidP="009B2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инклюзивной модели жизнедеятельности во взрослом возрасте.</w:t>
      </w: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 xml:space="preserve">12. Формирование у </w:t>
      </w:r>
      <w:proofErr w:type="gramStart"/>
      <w:r w:rsidRPr="009B25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254E">
        <w:rPr>
          <w:rFonts w:ascii="Times New Roman" w:hAnsi="Times New Roman" w:cs="Times New Roman"/>
          <w:sz w:val="24"/>
          <w:szCs w:val="24"/>
        </w:rPr>
        <w:t xml:space="preserve"> самоопределения личности.</w:t>
      </w: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13. Внедрение системы действий по улучшению образовательной среды.</w:t>
      </w: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14. Постоянство профессионального развития педагогического персонала</w:t>
      </w:r>
      <w:r w:rsidR="0002496A">
        <w:rPr>
          <w:rFonts w:ascii="Times New Roman" w:hAnsi="Times New Roman" w:cs="Times New Roman"/>
          <w:sz w:val="24"/>
          <w:szCs w:val="24"/>
        </w:rPr>
        <w:t xml:space="preserve"> [3, 5</w:t>
      </w:r>
      <w:r w:rsidRPr="009B254E">
        <w:rPr>
          <w:rFonts w:ascii="Times New Roman" w:hAnsi="Times New Roman" w:cs="Times New Roman"/>
          <w:sz w:val="24"/>
          <w:szCs w:val="24"/>
        </w:rPr>
        <w:t>].</w:t>
      </w: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Механизм развития инклюзивного процесса работает на основе обсуждения всеми субъектами образовательного процесса следующих моментов:</w:t>
      </w: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– препятствий и трудностей их (субъектов) включения в процесс;</w:t>
      </w: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 xml:space="preserve">– внешних и внутренних ресурсов, необходимых для включения в процесс; </w:t>
      </w: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 xml:space="preserve">– планирования согласованных мер по устранению этих препятствий и достижению поставленных целей. </w:t>
      </w: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На основе этого взаимодействия формируется инклюзивное сообщество, основой которого становится ценность развития потенциала каждого участника инклюзивного образовательного процесса, учет разнообразных интересов участников сообщества, согласование их в процессе реализации.</w:t>
      </w: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В данной работе авторы описывают опыт преодоления препятствий и трудностей включения в инклюзивный образовательный процесс педагогического коллектива колледжа.</w:t>
      </w: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lastRenderedPageBreak/>
        <w:t xml:space="preserve">Для обеспечения психолого-педагогического сопровождения (далее ППС) разработаны программно-методическое обеспечение образовательного процесса, адаптированного под особенности, потребности и возможности </w:t>
      </w:r>
      <w:proofErr w:type="gramStart"/>
      <w:r w:rsidRPr="009B25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254E">
        <w:rPr>
          <w:rFonts w:ascii="Times New Roman" w:hAnsi="Times New Roman" w:cs="Times New Roman"/>
          <w:sz w:val="24"/>
          <w:szCs w:val="24"/>
        </w:rPr>
        <w:t xml:space="preserve">. Реализуется кураторское сопровождение </w:t>
      </w:r>
      <w:proofErr w:type="gramStart"/>
      <w:r w:rsidRPr="009B25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254E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54E">
        <w:rPr>
          <w:rFonts w:ascii="Times New Roman" w:hAnsi="Times New Roman" w:cs="Times New Roman"/>
          <w:sz w:val="24"/>
          <w:szCs w:val="24"/>
        </w:rPr>
        <w:t>ППС сопровождение, реализуемое в КГБПОУ ХГМК с 2021 года, представляет собой систему, которая включает: изучение образовательного потенциала обучающихся, определение проблем и поиск возможных путей разрешения, выработку программы совместных действий участников образовательного процесса, контроль за ее реализацией и коррекцией, а также оказание необходимой адресной помощи (в том числе контроль учебы обучающегося с особыми образовательными потребностями в соответствии с графиком учебного процесса).</w:t>
      </w:r>
      <w:proofErr w:type="gramEnd"/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proofErr w:type="gramStart"/>
      <w:r w:rsidRPr="009B25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254E">
        <w:rPr>
          <w:rFonts w:ascii="Times New Roman" w:hAnsi="Times New Roman" w:cs="Times New Roman"/>
          <w:sz w:val="24"/>
          <w:szCs w:val="24"/>
        </w:rPr>
        <w:t xml:space="preserve"> с инвалидностью и ОВЗ связано со структурой образовательного процесса, определено его целями, содержанием и методами и реализуется колледжем по следующим основным направлениям:</w:t>
      </w: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 xml:space="preserve">– </w:t>
      </w:r>
      <w:r w:rsidRPr="009B254E">
        <w:rPr>
          <w:rFonts w:ascii="Times New Roman" w:hAnsi="Times New Roman" w:cs="Times New Roman"/>
          <w:b/>
          <w:sz w:val="24"/>
          <w:szCs w:val="24"/>
        </w:rPr>
        <w:t>психолого-педагогическое сопровождение</w:t>
      </w:r>
      <w:r w:rsidRPr="009B254E">
        <w:rPr>
          <w:rFonts w:ascii="Times New Roman" w:hAnsi="Times New Roman" w:cs="Times New Roman"/>
          <w:sz w:val="24"/>
          <w:szCs w:val="24"/>
        </w:rPr>
        <w:t>, осуществляется для лиц имеющих трудности в обучении, общении и социальной адаптации. Сопровождение направлено на изучение, развитие и коррекцию личности обучающегося, на его профессиональное становление с помощью процедур психодиагностики и коррекции нарушений развития (организуется куратором группы и педагогом-психологом) [2].</w:t>
      </w: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представляет собой систему деятельности по формированию необходимого уровня социализации, развитию коммуникативных навыков и мотиваций, укреплению и сохранению психологического здоровья, повышению психических ресурсов и адаптационных </w:t>
      </w:r>
      <w:proofErr w:type="gramStart"/>
      <w:r w:rsidRPr="009B254E">
        <w:rPr>
          <w:rFonts w:ascii="Times New Roman" w:hAnsi="Times New Roman" w:cs="Times New Roman"/>
          <w:sz w:val="24"/>
          <w:szCs w:val="24"/>
        </w:rPr>
        <w:t>возможностей</w:t>
      </w:r>
      <w:proofErr w:type="gramEnd"/>
      <w:r w:rsidRPr="009B254E">
        <w:rPr>
          <w:rFonts w:ascii="Times New Roman" w:hAnsi="Times New Roman" w:cs="Times New Roman"/>
          <w:sz w:val="24"/>
          <w:szCs w:val="24"/>
        </w:rPr>
        <w:t xml:space="preserve"> обучающихся с инвалидностью и/или с ОВЗ, гармонизации их психического состояния, развитию психолого-педагогической компетентности (психологической культуры) всего контингента обучающихся, родителей, педагогов, а также непрерывному обучению педагогического коллектива специальным методам обучения и коммуникации с обучающимися.</w:t>
      </w: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 xml:space="preserve">В психолого-педагогическом сопровождении используются методы </w:t>
      </w:r>
      <w:proofErr w:type="spellStart"/>
      <w:r w:rsidRPr="009B254E">
        <w:rPr>
          <w:rFonts w:ascii="Times New Roman" w:hAnsi="Times New Roman" w:cs="Times New Roman"/>
          <w:sz w:val="24"/>
          <w:szCs w:val="24"/>
        </w:rPr>
        <w:t>социодиагностики</w:t>
      </w:r>
      <w:proofErr w:type="spellEnd"/>
      <w:r w:rsidRPr="009B25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254E">
        <w:rPr>
          <w:rFonts w:ascii="Times New Roman" w:hAnsi="Times New Roman" w:cs="Times New Roman"/>
          <w:sz w:val="24"/>
          <w:szCs w:val="24"/>
        </w:rPr>
        <w:t>социомониторинг</w:t>
      </w:r>
      <w:proofErr w:type="spellEnd"/>
      <w:r w:rsidRPr="009B254E">
        <w:rPr>
          <w:rFonts w:ascii="Times New Roman" w:hAnsi="Times New Roman" w:cs="Times New Roman"/>
          <w:sz w:val="24"/>
          <w:szCs w:val="24"/>
        </w:rPr>
        <w:t xml:space="preserve"> – как регулярное определение имеющегося вектора потребностей всех категорий, представленных в колледже, с последующим проведением специальной работы по обеспечению самоопределения и информирования всех субъектов образовательной деятельности. </w:t>
      </w:r>
      <w:proofErr w:type="gramStart"/>
      <w:r w:rsidRPr="009B254E">
        <w:rPr>
          <w:rFonts w:ascii="Times New Roman" w:hAnsi="Times New Roman" w:cs="Times New Roman"/>
          <w:sz w:val="24"/>
          <w:szCs w:val="24"/>
        </w:rPr>
        <w:t>Данные методы можно использовать в качестве диагностического, проектирующего, формирующего и развивающего образовательную среду инструмента как одного из условий повышения эффективности социально-психолого-педагогического сопровождения всего контингента обучающихся, в том числе студентов с особыми образовательными потребностями;</w:t>
      </w:r>
      <w:proofErr w:type="gramEnd"/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 xml:space="preserve">– </w:t>
      </w:r>
      <w:r w:rsidRPr="009B254E">
        <w:rPr>
          <w:rFonts w:ascii="Times New Roman" w:hAnsi="Times New Roman" w:cs="Times New Roman"/>
          <w:b/>
          <w:sz w:val="24"/>
          <w:szCs w:val="24"/>
        </w:rPr>
        <w:t>организационно-педагогическое сопровождение</w:t>
      </w:r>
      <w:r w:rsidRPr="009B254E">
        <w:rPr>
          <w:rFonts w:ascii="Times New Roman" w:hAnsi="Times New Roman" w:cs="Times New Roman"/>
          <w:sz w:val="24"/>
          <w:szCs w:val="24"/>
        </w:rPr>
        <w:t>, реализуется совместными усилиями педагогического коллектива, куратором группы, педагогом-психологом, административным ресурсом, сторонними организациями, оказывающие помощь людям с инвалидностью и ОВЗ.</w:t>
      </w: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Организационно-педагогическое сопровождение в сфере профессионального образования призвано обеспечить студентам интеграцию в образовательную и профессиональную среду, обеспечить реальную возможность получения профессионального образования, помочь студентам сформироваться в качестве квалифицированных специалистов, научить адаптироваться к окружающей среде с момента поступления в образовательную организацию до трудовой деятельности [2].</w:t>
      </w: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В рамках образовательного процесса в КГБ ПОУ ХГМК создается атмосфера эмоционального комфорта, осуществляется формирование взаимоотношений в духе сотрудничества и принятия особенностей каждого, формирование позитивной, социально направленной учебной мотивации.</w:t>
      </w: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В освоении профессиональных компетенций важную роль играют организация активной практической деятельности обучающегося, использование всех модальностей восприятия при подаче материала (визуальной, аудиальной, кинестетической), положительное эмоциональное подкрепление, подготовка и применение наглядного материала, дозирование объема предъявляемого материала, уровня его сложности в соответствии с особыми образовательными возможно</w:t>
      </w:r>
      <w:r w:rsidR="0002496A">
        <w:rPr>
          <w:rFonts w:ascii="Times New Roman" w:hAnsi="Times New Roman" w:cs="Times New Roman"/>
          <w:sz w:val="24"/>
          <w:szCs w:val="24"/>
        </w:rPr>
        <w:t>стями и потребностями студентов</w:t>
      </w:r>
      <w:r w:rsidRPr="009B254E">
        <w:rPr>
          <w:rFonts w:ascii="Times New Roman" w:hAnsi="Times New Roman" w:cs="Times New Roman"/>
          <w:sz w:val="24"/>
          <w:szCs w:val="24"/>
        </w:rPr>
        <w:t>;</w:t>
      </w: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9B254E">
        <w:rPr>
          <w:rFonts w:ascii="Times New Roman" w:hAnsi="Times New Roman" w:cs="Times New Roman"/>
          <w:b/>
          <w:sz w:val="24"/>
          <w:szCs w:val="24"/>
        </w:rPr>
        <w:t>социальное-воспитательное</w:t>
      </w:r>
      <w:proofErr w:type="gramEnd"/>
      <w:r w:rsidRPr="009B254E">
        <w:rPr>
          <w:rFonts w:ascii="Times New Roman" w:hAnsi="Times New Roman" w:cs="Times New Roman"/>
          <w:b/>
          <w:sz w:val="24"/>
          <w:szCs w:val="24"/>
        </w:rPr>
        <w:t xml:space="preserve"> сопровождение</w:t>
      </w:r>
      <w:r w:rsidRPr="009B254E">
        <w:rPr>
          <w:rFonts w:ascii="Times New Roman" w:hAnsi="Times New Roman" w:cs="Times New Roman"/>
          <w:sz w:val="24"/>
          <w:szCs w:val="24"/>
        </w:rPr>
        <w:t xml:space="preserve"> – решает широкий спектр вопросов социального характера, от которых зависит успешная учеба обучающихся, в том числе с особыми образовательными потребностями, в образовательной организации. Под социальным сопровождением понимается совокупность мероприятий, сопутствующих образовательному процессу и направленных на социальную поддержку обучающихся в процессе обучения, включая содействие в решении бытовых проблем, проживания в общежитии, социальных выплат, выделения материальной помощи, стипендиального обеспечения (организуется куратором группы, сотрудниками отдела воспитательной работы, работниками общежития, администрацией колледжа).</w:t>
      </w: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 xml:space="preserve">Реализация задач социально-воспитательного сопровождения ведется посредством: </w:t>
      </w: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54E">
        <w:rPr>
          <w:rFonts w:ascii="Times New Roman" w:hAnsi="Times New Roman" w:cs="Times New Roman"/>
          <w:sz w:val="24"/>
          <w:szCs w:val="24"/>
        </w:rPr>
        <w:t xml:space="preserve">• оказания консультационной и организационно-методической помощи обучающимся по вопросам социальной защиты и реабилитации; </w:t>
      </w:r>
      <w:proofErr w:type="gramEnd"/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 xml:space="preserve">• предоставления информации о правовых основах социальной защиты и реабилитации, подключения юридического отдела в проблемных ситуациях; </w:t>
      </w: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 xml:space="preserve">• содействия в разрешении личных проблем (связанных с культурно-досуговой деятельностью через включение обучающегося в кружки дополнительного образования, участие в праздничных мероприятиях и концертах, в социально значимых проектах, в походной деятельности туристического клуба, спортивных мероприятиях, в представлении интересной информации о колледже на своих страницах в социальных сетях; с планированием (индивидуализацией) своей образовательной траектории через вовлечение в участие в </w:t>
      </w:r>
      <w:proofErr w:type="gramStart"/>
      <w:r w:rsidRPr="009B254E">
        <w:rPr>
          <w:rFonts w:ascii="Times New Roman" w:hAnsi="Times New Roman" w:cs="Times New Roman"/>
          <w:sz w:val="24"/>
          <w:szCs w:val="24"/>
        </w:rPr>
        <w:t>индивидуальных проектах</w:t>
      </w:r>
      <w:proofErr w:type="gramEnd"/>
      <w:r w:rsidRPr="009B2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254E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9B254E">
        <w:rPr>
          <w:rFonts w:ascii="Times New Roman" w:hAnsi="Times New Roman" w:cs="Times New Roman"/>
          <w:sz w:val="24"/>
          <w:szCs w:val="24"/>
        </w:rPr>
        <w:t xml:space="preserve"> мероприятиях, в проведении профилактических мероприятий для сверстников своего и других учреждений, конкурсах профессионального мастерства </w:t>
      </w:r>
      <w:proofErr w:type="spellStart"/>
      <w:r w:rsidRPr="009B254E">
        <w:rPr>
          <w:rFonts w:ascii="Times New Roman" w:hAnsi="Times New Roman" w:cs="Times New Roman"/>
          <w:sz w:val="24"/>
          <w:szCs w:val="24"/>
        </w:rPr>
        <w:t>Abilympics</w:t>
      </w:r>
      <w:proofErr w:type="spellEnd"/>
      <w:r w:rsidRPr="009B254E">
        <w:rPr>
          <w:rFonts w:ascii="Times New Roman" w:hAnsi="Times New Roman" w:cs="Times New Roman"/>
          <w:sz w:val="24"/>
          <w:szCs w:val="24"/>
        </w:rPr>
        <w:t>.</w:t>
      </w: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• адаптационного обучения (при необходимости) студентов, в том числе с особыми образовательными потребностями (обучающие занятия по культуре речи; занятия по внешнему виду; по организационно-бытовым проблемам при получении жилья, в период начала самостоятельного проживания и т.п.);</w:t>
      </w: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• содействия в обеспечении техническими средствами реабилитации (при необходимости).</w:t>
      </w: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Данные виды сопровождения обеспечивают комплексность и эффективность сопровождения образовательного процесса и последующего профессионального становления конкурентоспособного выпускника.</w:t>
      </w: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b/>
          <w:sz w:val="24"/>
          <w:szCs w:val="24"/>
        </w:rPr>
        <w:t>Цель</w:t>
      </w:r>
      <w:r w:rsidRPr="009B254E">
        <w:rPr>
          <w:rFonts w:ascii="Times New Roman" w:hAnsi="Times New Roman" w:cs="Times New Roman"/>
          <w:sz w:val="24"/>
          <w:szCs w:val="24"/>
        </w:rPr>
        <w:t xml:space="preserve"> сопровождения – создание атмосферы эмоционального комфорта, формирование взаимоотношений в духе сотрудничества и принятия особенностей каждого, формирование позитивной, социально-направленной учебной мотивации.</w:t>
      </w: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54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B2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B254E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направлено на удовлетворение психологических потребностей развития личности обучающегося, отвечает за создание условий реализации индивидуально-личностного потенциала, предотвращение возникновения личностных нарушений или остановок в личностном развитии, оказывает содействие в разрешении внутренних конфликтов личности и возобновлении личностного роста, поиске скрытых ресурсов развития подростка и сохранении психологического здоровья.</w:t>
      </w: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 xml:space="preserve"> Организационно-педагогическое сопровождение гарантирует взаимодействие и сопутствие педагога обучающемуся в процессе разработки и реализации индивидуальной образовательной траектории, возможность самостоятельно достигать желаемых результатов в обучении, помогает обучающемуся найти опору в его собственных возможностях.</w:t>
      </w: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54E">
        <w:rPr>
          <w:rFonts w:ascii="Times New Roman" w:hAnsi="Times New Roman" w:cs="Times New Roman"/>
          <w:sz w:val="24"/>
          <w:szCs w:val="24"/>
        </w:rPr>
        <w:t>Социальное-воспитательное</w:t>
      </w:r>
      <w:proofErr w:type="gramEnd"/>
      <w:r w:rsidRPr="009B254E">
        <w:rPr>
          <w:rFonts w:ascii="Times New Roman" w:hAnsi="Times New Roman" w:cs="Times New Roman"/>
          <w:sz w:val="24"/>
          <w:szCs w:val="24"/>
        </w:rPr>
        <w:t xml:space="preserve"> сопровождение отвечает за поддержку обучающегося в построении социальных отношений, обучение новым моделям взаимодействия с собой и миром, преодоление трудностей социализации, способствует адаптации обучающегося с особыми образовательными потребностями к новым жизненным ситуациям. </w:t>
      </w: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54E">
        <w:rPr>
          <w:rFonts w:ascii="Times New Roman" w:hAnsi="Times New Roman" w:cs="Times New Roman"/>
          <w:b/>
          <w:sz w:val="24"/>
          <w:szCs w:val="24"/>
        </w:rPr>
        <w:t>Основной задачей</w:t>
      </w:r>
      <w:r w:rsidRPr="009B254E">
        <w:rPr>
          <w:rFonts w:ascii="Times New Roman" w:hAnsi="Times New Roman" w:cs="Times New Roman"/>
          <w:sz w:val="24"/>
          <w:szCs w:val="24"/>
        </w:rPr>
        <w:t xml:space="preserve"> сопровождения является создание условий для полноценной и качественной жизни человека, в том числе с особыми образовательными потребностями, в рамках образовательного пространства, выстраивание вектора успешной социализации в обществе, количественные и качественные критерии оценивания сопровождения представлены в приложении 1.</w:t>
      </w: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b/>
          <w:sz w:val="24"/>
          <w:szCs w:val="24"/>
        </w:rPr>
        <w:t xml:space="preserve">Целевая аудитория: </w:t>
      </w:r>
      <w:r w:rsidRPr="009B254E">
        <w:rPr>
          <w:rFonts w:ascii="Times New Roman" w:hAnsi="Times New Roman" w:cs="Times New Roman"/>
          <w:sz w:val="24"/>
          <w:szCs w:val="24"/>
        </w:rPr>
        <w:t>группа студентов, обучающихся по специальности 34.02.02 Медицинский массаж (для лиц с ограниченными возможностями здоровья по зрению).</w:t>
      </w:r>
      <w:r w:rsidRPr="009B254E">
        <w:rPr>
          <w:rFonts w:ascii="Times New Roman" w:hAnsi="Times New Roman" w:cs="Times New Roman"/>
          <w:sz w:val="24"/>
          <w:szCs w:val="24"/>
        </w:rPr>
        <w:t xml:space="preserve"> Обучение ведется в очной форме.</w:t>
      </w: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Х</w:t>
      </w:r>
      <w:r w:rsidRPr="009B254E">
        <w:rPr>
          <w:rFonts w:ascii="Times New Roman" w:hAnsi="Times New Roman" w:cs="Times New Roman"/>
          <w:sz w:val="24"/>
          <w:szCs w:val="24"/>
        </w:rPr>
        <w:t xml:space="preserve">арактеристика целевой группы: </w:t>
      </w: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– Всего10 человек, из них 50%  мужчин, 50% женщин.</w:t>
      </w: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– 6 человек в возрасте 39-45 лет, 1 человек в возрасте 54 лет, 1 человек в возрасте 32 лет, 2 человека в возрасте 23-24 года.</w:t>
      </w: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основе полученных результатов тестирования и ежедневных контактов,  авторы так же делают вывод, что в целом в группе присутствует тенденция изменять свое поведение в зависимости от влияния других людей с тем, чтобы оно соответствовало мнению окружающих, так как у 40 % опрошенных присутствует такая черта характера, как </w:t>
      </w:r>
      <w:proofErr w:type="spellStart"/>
      <w:r w:rsidRPr="009B254E">
        <w:rPr>
          <w:rFonts w:ascii="Times New Roman" w:hAnsi="Times New Roman" w:cs="Times New Roman"/>
          <w:sz w:val="24"/>
          <w:szCs w:val="24"/>
          <w:shd w:val="clear" w:color="auto" w:fill="FFFFFF"/>
        </w:rPr>
        <w:t>конформность</w:t>
      </w:r>
      <w:proofErr w:type="spellEnd"/>
      <w:r w:rsidRPr="009B25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 xml:space="preserve">Из 10 человек, трое являются тотально слепыми с детства, 7 человек имеют приобретенную инвалидность в результате травм, несчастных случаев, заболеваний, они отметили, что  </w:t>
      </w:r>
      <w:r w:rsidRPr="009B2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оказались перед лицом совершенно новой проблемной ситуации. Для них дефект стал сильно действующим фактором, деформирующим прежний, привычный образ жизни. Им приходится пройти через </w:t>
      </w:r>
      <w:proofErr w:type="spellStart"/>
      <w:r w:rsidRPr="009B254E">
        <w:rPr>
          <w:rFonts w:ascii="Times New Roman" w:hAnsi="Times New Roman" w:cs="Times New Roman"/>
          <w:sz w:val="24"/>
          <w:szCs w:val="24"/>
          <w:shd w:val="clear" w:color="auto" w:fill="FFFFFF"/>
        </w:rPr>
        <w:t>ресоциализацию</w:t>
      </w:r>
      <w:proofErr w:type="spellEnd"/>
      <w:r w:rsidRPr="009B2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т.е. приобретать новые знания, навыки, опыт, позволяющие выстраивать удовлетворительный, социально приемлемый образ жизни, приспосабливаться к возникшему дефекту. Следует подчеркнуть, что процесс </w:t>
      </w:r>
      <w:proofErr w:type="spellStart"/>
      <w:r w:rsidRPr="009B254E">
        <w:rPr>
          <w:rFonts w:ascii="Times New Roman" w:hAnsi="Times New Roman" w:cs="Times New Roman"/>
          <w:sz w:val="24"/>
          <w:szCs w:val="24"/>
          <w:shd w:val="clear" w:color="auto" w:fill="FFFFFF"/>
        </w:rPr>
        <w:t>ресоциализации</w:t>
      </w:r>
      <w:proofErr w:type="spellEnd"/>
      <w:r w:rsidRPr="009B2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людей, ставших инвалидами по зрению в зрелом возрасте, оказывается более сложным, чем инвалидов с детства. Так как они оказываются в новой для них ситуации внезапно, имея сложившиеся черты характера, образ жизни, привычки</w:t>
      </w:r>
      <w:r w:rsidR="000249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[1,7</w:t>
      </w:r>
      <w:r w:rsidRPr="009B2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]. Человеку, потерявшему зрение в зрелом возрасте, не всегда удается справиться со своим недугом, приспособиться к слепоте. В нашем случае </w:t>
      </w:r>
      <w:proofErr w:type="spellStart"/>
      <w:r w:rsidRPr="009B254E">
        <w:rPr>
          <w:rFonts w:ascii="Times New Roman" w:hAnsi="Times New Roman" w:cs="Times New Roman"/>
          <w:sz w:val="24"/>
          <w:szCs w:val="24"/>
          <w:shd w:val="clear" w:color="auto" w:fill="FFFFFF"/>
        </w:rPr>
        <w:t>ресоциализация</w:t>
      </w:r>
      <w:proofErr w:type="spellEnd"/>
      <w:r w:rsidRPr="009B2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пройдена успешно, все находятся в стадии принятия и переоценки ситуации, адекватно воспринимают объективную реальность, обучение рассматривают, как возможность найти свое место в жизни, быть полезными семье и обществу.</w:t>
      </w: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На момент обучения в 1 семестре (октябрь 2021г</w:t>
      </w:r>
      <w:r w:rsidRPr="009B254E">
        <w:rPr>
          <w:rFonts w:ascii="Times New Roman" w:hAnsi="Times New Roman" w:cs="Times New Roman"/>
          <w:sz w:val="24"/>
          <w:szCs w:val="24"/>
        </w:rPr>
        <w:t>.</w:t>
      </w:r>
      <w:r w:rsidRPr="009B254E">
        <w:rPr>
          <w:rFonts w:ascii="Times New Roman" w:hAnsi="Times New Roman" w:cs="Times New Roman"/>
          <w:sz w:val="24"/>
          <w:szCs w:val="24"/>
        </w:rPr>
        <w:t xml:space="preserve">) у 40% </w:t>
      </w:r>
      <w:proofErr w:type="gramStart"/>
      <w:r w:rsidRPr="009B25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254E">
        <w:rPr>
          <w:rFonts w:ascii="Times New Roman" w:hAnsi="Times New Roman" w:cs="Times New Roman"/>
          <w:sz w:val="24"/>
          <w:szCs w:val="24"/>
        </w:rPr>
        <w:t xml:space="preserve"> отмечался высокий уровень тревожности, у 20% высокий уровень агрессивности, у 10% высокий уровень ригидности и 30% высокий уровень фрустрации. На рисунке 2 представлена информация о результатах опроса студентов по Г. </w:t>
      </w:r>
      <w:proofErr w:type="spellStart"/>
      <w:r w:rsidRPr="009B254E">
        <w:rPr>
          <w:rFonts w:ascii="Times New Roman" w:hAnsi="Times New Roman" w:cs="Times New Roman"/>
          <w:sz w:val="24"/>
          <w:szCs w:val="24"/>
        </w:rPr>
        <w:t>Айзенка</w:t>
      </w:r>
      <w:proofErr w:type="spellEnd"/>
      <w:r w:rsidRPr="009B254E">
        <w:rPr>
          <w:rFonts w:ascii="Times New Roman" w:hAnsi="Times New Roman" w:cs="Times New Roman"/>
          <w:sz w:val="24"/>
          <w:szCs w:val="24"/>
        </w:rPr>
        <w:t xml:space="preserve"> «Самооценка психических состояний личности».</w:t>
      </w:r>
    </w:p>
    <w:p w:rsidR="009B254E" w:rsidRDefault="009B254E" w:rsidP="009B25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AE73FE" wp14:editId="20A4C3FF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54E" w:rsidRPr="009B254E" w:rsidRDefault="009B254E" w:rsidP="009B2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Рисунок 2 – Ре</w:t>
      </w:r>
      <w:r w:rsidRPr="009B254E">
        <w:rPr>
          <w:rFonts w:ascii="Times New Roman" w:hAnsi="Times New Roman" w:cs="Times New Roman"/>
          <w:sz w:val="24"/>
          <w:szCs w:val="24"/>
        </w:rPr>
        <w:t xml:space="preserve">зультаты тестирования группы </w:t>
      </w:r>
    </w:p>
    <w:p w:rsid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На основе проведенного исследования были предложены следующие методы по сопровождению образовательного процесса группы</w:t>
      </w:r>
      <w:r w:rsidRPr="009B254E">
        <w:rPr>
          <w:rFonts w:ascii="Times New Roman" w:hAnsi="Times New Roman" w:cs="Times New Roman"/>
          <w:sz w:val="24"/>
          <w:szCs w:val="24"/>
        </w:rPr>
        <w:t>, таблица 1</w:t>
      </w:r>
      <w:r w:rsidRPr="009B254E">
        <w:rPr>
          <w:rFonts w:ascii="Times New Roman" w:hAnsi="Times New Roman" w:cs="Times New Roman"/>
          <w:sz w:val="24"/>
          <w:szCs w:val="24"/>
        </w:rPr>
        <w:t>.</w:t>
      </w:r>
    </w:p>
    <w:p w:rsidR="009B254E" w:rsidRPr="009B254E" w:rsidRDefault="009B254E" w:rsidP="009B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Таблица 1</w:t>
      </w:r>
      <w:r w:rsidRPr="009B254E">
        <w:rPr>
          <w:rFonts w:ascii="Times New Roman" w:hAnsi="Times New Roman" w:cs="Times New Roman"/>
          <w:sz w:val="24"/>
          <w:szCs w:val="24"/>
        </w:rPr>
        <w:t xml:space="preserve"> – Методы сопровождения  инклюзивного образовательного процесса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3544"/>
      </w:tblGrid>
      <w:tr w:rsidR="009B254E" w:rsidRPr="009B254E" w:rsidTr="00225868">
        <w:tc>
          <w:tcPr>
            <w:tcW w:w="2660" w:type="dxa"/>
          </w:tcPr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  <w:tc>
          <w:tcPr>
            <w:tcW w:w="3260" w:type="dxa"/>
          </w:tcPr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3544" w:type="dxa"/>
          </w:tcPr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sz w:val="24"/>
                <w:szCs w:val="24"/>
              </w:rPr>
              <w:t>Привлекаемые лица</w:t>
            </w:r>
          </w:p>
        </w:tc>
      </w:tr>
      <w:tr w:rsidR="009B254E" w:rsidRPr="009B254E" w:rsidTr="00225868">
        <w:tc>
          <w:tcPr>
            <w:tcW w:w="2660" w:type="dxa"/>
          </w:tcPr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</w:t>
            </w:r>
          </w:p>
        </w:tc>
        <w:tc>
          <w:tcPr>
            <w:tcW w:w="3260" w:type="dxa"/>
          </w:tcPr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</w:t>
            </w:r>
          </w:p>
        </w:tc>
        <w:tc>
          <w:tcPr>
            <w:tcW w:w="3544" w:type="dxa"/>
          </w:tcPr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9B254E" w:rsidRPr="009B254E" w:rsidTr="00225868">
        <w:tc>
          <w:tcPr>
            <w:tcW w:w="2660" w:type="dxa"/>
          </w:tcPr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организационно-педагогическое сопровождение</w:t>
            </w:r>
          </w:p>
        </w:tc>
        <w:tc>
          <w:tcPr>
            <w:tcW w:w="3260" w:type="dxa"/>
          </w:tcPr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sz w:val="24"/>
                <w:szCs w:val="24"/>
              </w:rPr>
              <w:t>Коррекция учебных планов (при необходимости)</w:t>
            </w:r>
          </w:p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образовательная траектория (при необходимости) </w:t>
            </w:r>
          </w:p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</w:t>
            </w:r>
          </w:p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sz w:val="24"/>
                <w:szCs w:val="24"/>
              </w:rPr>
              <w:t>Кураторские часы</w:t>
            </w:r>
          </w:p>
        </w:tc>
        <w:tc>
          <w:tcPr>
            <w:tcW w:w="3544" w:type="dxa"/>
          </w:tcPr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sz w:val="24"/>
                <w:szCs w:val="24"/>
              </w:rPr>
              <w:t>Педагоги колледжа</w:t>
            </w:r>
          </w:p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sz w:val="24"/>
                <w:szCs w:val="24"/>
              </w:rPr>
              <w:t>Куратор группы</w:t>
            </w:r>
          </w:p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sz w:val="24"/>
                <w:szCs w:val="24"/>
              </w:rPr>
              <w:t xml:space="preserve">Сторонние организации: специалисты министерства социальной защиты, </w:t>
            </w:r>
            <w:r w:rsidRPr="009B254E">
              <w:rPr>
                <w:rFonts w:ascii="Times New Roman" w:hAnsi="Times New Roman" w:cs="Times New Roman"/>
                <w:bCs/>
                <w:sz w:val="24"/>
                <w:szCs w:val="24"/>
              </w:rPr>
              <w:t>Хабаровский центр социальной реабилитации инвалидов</w:t>
            </w:r>
          </w:p>
        </w:tc>
      </w:tr>
      <w:tr w:rsidR="009B254E" w:rsidRPr="009B254E" w:rsidTr="00225868">
        <w:tc>
          <w:tcPr>
            <w:tcW w:w="2660" w:type="dxa"/>
          </w:tcPr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54E">
              <w:rPr>
                <w:rFonts w:ascii="Times New Roman" w:hAnsi="Times New Roman" w:cs="Times New Roman"/>
                <w:sz w:val="24"/>
                <w:szCs w:val="24"/>
              </w:rPr>
              <w:t>социальное-воспитательное</w:t>
            </w:r>
            <w:proofErr w:type="gramEnd"/>
            <w:r w:rsidRPr="009B254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</w:t>
            </w:r>
          </w:p>
        </w:tc>
        <w:tc>
          <w:tcPr>
            <w:tcW w:w="3260" w:type="dxa"/>
          </w:tcPr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творческих конкурсах, НИРС, конкурсах профессионального мастерства</w:t>
            </w:r>
          </w:p>
        </w:tc>
        <w:tc>
          <w:tcPr>
            <w:tcW w:w="3544" w:type="dxa"/>
          </w:tcPr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sz w:val="24"/>
                <w:szCs w:val="24"/>
              </w:rPr>
              <w:t>Отдел по воспитательной работе, научно-методический отдел, педагог-психолог, куратор группы</w:t>
            </w:r>
          </w:p>
        </w:tc>
      </w:tr>
    </w:tbl>
    <w:p w:rsidR="009B254E" w:rsidRPr="009B254E" w:rsidRDefault="009B254E" w:rsidP="009B2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В таблице 2</w:t>
      </w:r>
      <w:r w:rsidRPr="009B254E">
        <w:rPr>
          <w:rFonts w:ascii="Times New Roman" w:hAnsi="Times New Roman" w:cs="Times New Roman"/>
          <w:sz w:val="24"/>
          <w:szCs w:val="24"/>
        </w:rPr>
        <w:t xml:space="preserve"> представлены некоторые мероприятия, проведенные в процессе психолого-педагогического сопровождения группы</w:t>
      </w:r>
      <w:r w:rsidRPr="009B254E">
        <w:rPr>
          <w:rFonts w:ascii="Times New Roman" w:hAnsi="Times New Roman" w:cs="Times New Roman"/>
          <w:sz w:val="24"/>
          <w:szCs w:val="24"/>
        </w:rPr>
        <w:t>, на протяжении 2021/2022 и 2022</w:t>
      </w:r>
      <w:r w:rsidRPr="009B254E">
        <w:rPr>
          <w:rFonts w:ascii="Times New Roman" w:hAnsi="Times New Roman" w:cs="Times New Roman"/>
          <w:sz w:val="24"/>
          <w:szCs w:val="24"/>
        </w:rPr>
        <w:t>/2023 учебных годов.</w:t>
      </w:r>
    </w:p>
    <w:p w:rsidR="009B254E" w:rsidRPr="009B254E" w:rsidRDefault="009B254E" w:rsidP="009B2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Таблица 2 – Мероприятия психолого-педагогического сопровождения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B254E" w:rsidRPr="009B254E" w:rsidTr="00225868">
        <w:tc>
          <w:tcPr>
            <w:tcW w:w="2943" w:type="dxa"/>
          </w:tcPr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</w:t>
            </w:r>
          </w:p>
        </w:tc>
        <w:tc>
          <w:tcPr>
            <w:tcW w:w="6628" w:type="dxa"/>
          </w:tcPr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sz w:val="24"/>
                <w:szCs w:val="24"/>
              </w:rPr>
              <w:t>– Психологическое тестирование:</w:t>
            </w:r>
          </w:p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B254E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 w:rsidRPr="009B254E">
              <w:rPr>
                <w:rFonts w:ascii="Times New Roman" w:hAnsi="Times New Roman" w:cs="Times New Roman"/>
                <w:sz w:val="24"/>
                <w:szCs w:val="24"/>
              </w:rPr>
              <w:t xml:space="preserve"> «Самооценка психических состояний личности»</w:t>
            </w:r>
          </w:p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9B254E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 w:rsidRPr="009B254E">
              <w:rPr>
                <w:rFonts w:ascii="Times New Roman" w:hAnsi="Times New Roman" w:cs="Times New Roman"/>
                <w:sz w:val="24"/>
                <w:szCs w:val="24"/>
              </w:rPr>
              <w:t xml:space="preserve"> на определение темперамента</w:t>
            </w:r>
          </w:p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стрессоустойчивости (Н.В. </w:t>
            </w:r>
            <w:proofErr w:type="spellStart"/>
            <w:r w:rsidRPr="009B254E">
              <w:rPr>
                <w:rFonts w:ascii="Times New Roman" w:hAnsi="Times New Roman" w:cs="Times New Roman"/>
                <w:sz w:val="24"/>
                <w:szCs w:val="24"/>
              </w:rPr>
              <w:t>Киршева</w:t>
            </w:r>
            <w:proofErr w:type="spellEnd"/>
            <w:r w:rsidRPr="009B254E">
              <w:rPr>
                <w:rFonts w:ascii="Times New Roman" w:hAnsi="Times New Roman" w:cs="Times New Roman"/>
                <w:sz w:val="24"/>
                <w:szCs w:val="24"/>
              </w:rPr>
              <w:t xml:space="preserve">, Н.В. </w:t>
            </w:r>
            <w:proofErr w:type="spellStart"/>
            <w:r w:rsidRPr="009B254E"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 w:rsidRPr="009B25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sz w:val="24"/>
                <w:szCs w:val="24"/>
              </w:rPr>
              <w:t>Тест С.В. Ковалева на самооценку</w:t>
            </w:r>
          </w:p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sz w:val="24"/>
                <w:szCs w:val="24"/>
              </w:rPr>
              <w:t xml:space="preserve">«Мотивация успеха и боязнь неудачи» опросник А.А. </w:t>
            </w:r>
            <w:proofErr w:type="spellStart"/>
            <w:r w:rsidRPr="009B254E">
              <w:rPr>
                <w:rFonts w:ascii="Times New Roman" w:hAnsi="Times New Roman" w:cs="Times New Roman"/>
                <w:sz w:val="24"/>
                <w:szCs w:val="24"/>
              </w:rPr>
              <w:t>Реана</w:t>
            </w:r>
            <w:proofErr w:type="spellEnd"/>
          </w:p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sz w:val="24"/>
                <w:szCs w:val="24"/>
              </w:rPr>
              <w:t>– Тренинги:</w:t>
            </w:r>
          </w:p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личностного потенциала»</w:t>
            </w:r>
          </w:p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sz w:val="24"/>
                <w:szCs w:val="24"/>
              </w:rPr>
              <w:t>Тренинг общения «Наша группа»</w:t>
            </w:r>
          </w:p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sz w:val="24"/>
                <w:szCs w:val="24"/>
              </w:rPr>
              <w:t>«Ресурсы стрессоустойчивости»</w:t>
            </w:r>
          </w:p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sz w:val="24"/>
                <w:szCs w:val="24"/>
              </w:rPr>
              <w:t>«Повышение самооценки личности лиц с ОВЗ»</w:t>
            </w:r>
          </w:p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sz w:val="24"/>
                <w:szCs w:val="24"/>
              </w:rPr>
              <w:t>– Индивидуальные консультации</w:t>
            </w:r>
          </w:p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sz w:val="24"/>
                <w:szCs w:val="24"/>
              </w:rPr>
              <w:t>– Мониторинг</w:t>
            </w:r>
          </w:p>
        </w:tc>
      </w:tr>
      <w:tr w:rsidR="009B254E" w:rsidRPr="009B254E" w:rsidTr="00225868">
        <w:tc>
          <w:tcPr>
            <w:tcW w:w="2943" w:type="dxa"/>
          </w:tcPr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организационно-педагогическое сопровождение</w:t>
            </w:r>
          </w:p>
        </w:tc>
        <w:tc>
          <w:tcPr>
            <w:tcW w:w="6628" w:type="dxa"/>
          </w:tcPr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Экскурсии по колледжу (маршрутизация)</w:t>
            </w:r>
          </w:p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доступной среды: пандус, тактильные таблички, санузел, закрепленная аудитория</w:t>
            </w:r>
            <w:r w:rsidR="00B764E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B254E" w:rsidRPr="009B254E" w:rsidRDefault="00B764E0" w:rsidP="002258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9B254E" w:rsidRPr="009B254E">
              <w:rPr>
                <w:rFonts w:ascii="Times New Roman" w:hAnsi="Times New Roman" w:cs="Times New Roman"/>
                <w:bCs/>
                <w:sz w:val="24"/>
                <w:szCs w:val="24"/>
              </w:rPr>
              <w:t>оциальный педагог КГБУ Хабаровский центр социальной реабилитации инвалидов (индивидуальные маршруты, оказывает сопровождение проживающих в общежитии, ведет блок «Доступный мир», где активно выкладывают информацию о</w:t>
            </w:r>
            <w:r w:rsidR="009B254E" w:rsidRPr="009B2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достижениях обучающихся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B254E" w:rsidRPr="009B25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социальной защиты</w:t>
            </w:r>
            <w:r w:rsidRPr="009B2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встреча с учащимися</w:t>
            </w:r>
            <w:r w:rsidRPr="009B2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трудоустройства</w:t>
            </w:r>
          </w:p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bCs/>
                <w:sz w:val="24"/>
                <w:szCs w:val="24"/>
              </w:rPr>
              <w:t>АНО «Краевое агентство содействия предпринимательству» запланировано обучение курс ДПО «Азбука предпринимателя»</w:t>
            </w:r>
          </w:p>
        </w:tc>
      </w:tr>
      <w:tr w:rsidR="009B254E" w:rsidRPr="009B254E" w:rsidTr="00225868">
        <w:tc>
          <w:tcPr>
            <w:tcW w:w="2943" w:type="dxa"/>
          </w:tcPr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54E">
              <w:rPr>
                <w:rFonts w:ascii="Times New Roman" w:hAnsi="Times New Roman" w:cs="Times New Roman"/>
                <w:sz w:val="24"/>
                <w:szCs w:val="24"/>
              </w:rPr>
              <w:t>социальное-воспитательное</w:t>
            </w:r>
            <w:proofErr w:type="gramEnd"/>
            <w:r w:rsidRPr="009B254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</w:t>
            </w:r>
          </w:p>
        </w:tc>
        <w:tc>
          <w:tcPr>
            <w:tcW w:w="6628" w:type="dxa"/>
          </w:tcPr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54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краевой заочной НПК «Петровская эпоха: взгляд студентов профессионального образования Хабаровского края», посвященная празднованию 350-лет со дня рождения Петра </w:t>
            </w:r>
            <w:r w:rsidRPr="009B2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25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B254E">
              <w:rPr>
                <w:rFonts w:ascii="Times New Roman" w:hAnsi="Times New Roman" w:cs="Times New Roman"/>
                <w:sz w:val="24"/>
                <w:szCs w:val="24"/>
              </w:rPr>
              <w:t>4 студента группы</w:t>
            </w:r>
            <w:r w:rsidRPr="009B254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sz w:val="24"/>
                <w:szCs w:val="24"/>
              </w:rPr>
              <w:t>Участие в НПК «Медицинская наука: вчера, сегодня, завтра» (2021 год- 1 человек, 2022 год- 5 человек).</w:t>
            </w:r>
          </w:p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научно-практической конференции посвященной Дню науки (1 человек)</w:t>
            </w:r>
          </w:p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iCs/>
                <w:sz w:val="24"/>
                <w:szCs w:val="24"/>
              </w:rPr>
              <w:t>Выступление на радио</w:t>
            </w:r>
            <w:r w:rsidR="00B764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темой «Как добиться успеха»</w:t>
            </w:r>
            <w:proofErr w:type="gramStart"/>
            <w:r w:rsidR="00B764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B254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</w:p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sz w:val="24"/>
                <w:szCs w:val="24"/>
              </w:rPr>
              <w:t>Всероссийские диктанты и олимпиады, регулярно участвуют 5-7 человек.</w:t>
            </w:r>
          </w:p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«День знаний» (концерт для преподавателей 2-3 человека).</w:t>
            </w:r>
          </w:p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благотворительные акции: Добрая крышечка, Помоги собраться в школу, </w:t>
            </w:r>
            <w:proofErr w:type="spellStart"/>
            <w:r w:rsidRPr="009B254E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9B254E">
              <w:rPr>
                <w:rFonts w:ascii="Times New Roman" w:hAnsi="Times New Roman" w:cs="Times New Roman"/>
                <w:sz w:val="24"/>
                <w:szCs w:val="24"/>
              </w:rPr>
              <w:t>, Коробка добра, Подарок воину и др.</w:t>
            </w:r>
          </w:p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«Белая трость»: Встреча со студентами групп </w:t>
            </w:r>
            <w:r w:rsidRPr="009B254E">
              <w:rPr>
                <w:rFonts w:ascii="Times New Roman" w:hAnsi="Times New Roman" w:cs="Times New Roman"/>
                <w:sz w:val="24"/>
                <w:szCs w:val="24"/>
              </w:rPr>
              <w:t>специальности «Сестринское дело» 1 курса обучения,</w:t>
            </w:r>
            <w:r w:rsidRPr="009B254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«Этика общения»</w:t>
            </w:r>
          </w:p>
          <w:p w:rsidR="00B764E0" w:rsidRDefault="009B254E" w:rsidP="002258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sz w:val="24"/>
                <w:szCs w:val="24"/>
              </w:rPr>
              <w:t xml:space="preserve">Школа молодого преподавателя «Этика общения», встреча с социальным педагогом </w:t>
            </w:r>
            <w:r w:rsidRPr="009B254E">
              <w:rPr>
                <w:rFonts w:ascii="Times New Roman" w:hAnsi="Times New Roman" w:cs="Times New Roman"/>
                <w:bCs/>
                <w:sz w:val="24"/>
                <w:szCs w:val="24"/>
              </w:rPr>
              <w:t>КГБУ «Хабаровский центр реабилитации инвалидов»</w:t>
            </w:r>
            <w:r w:rsidR="00B76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участием студентов группы.</w:t>
            </w:r>
            <w:r w:rsidRPr="009B2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конкурсе проф. мастерства </w:t>
            </w:r>
            <w:proofErr w:type="spellStart"/>
            <w:r w:rsidRPr="009B254E">
              <w:rPr>
                <w:rFonts w:ascii="Times New Roman" w:hAnsi="Times New Roman" w:cs="Times New Roman"/>
                <w:bCs/>
                <w:sz w:val="24"/>
                <w:szCs w:val="24"/>
              </w:rPr>
              <w:t>Абилимпикс</w:t>
            </w:r>
            <w:proofErr w:type="spellEnd"/>
            <w:r w:rsidRPr="009B2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(2021-1 человек, 2022 – 4 человека, 2023 планируется 4 человека)</w:t>
            </w:r>
          </w:p>
          <w:p w:rsidR="009B254E" w:rsidRPr="009B254E" w:rsidRDefault="009B254E" w:rsidP="002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4E">
              <w:rPr>
                <w:rFonts w:ascii="Times New Roman" w:hAnsi="Times New Roman" w:cs="Times New Roman"/>
                <w:bCs/>
                <w:sz w:val="24"/>
                <w:szCs w:val="24"/>
              </w:rPr>
              <w:t>Лекторий и олимпиада по финансовой грамотности (5 человек) и др.</w:t>
            </w:r>
          </w:p>
        </w:tc>
      </w:tr>
    </w:tbl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По мнению авторов, система комплексного, непрерывного сопровождения образовательного процесса обучающихся с ОВЗ созданная в колледже, вносит существенный вклад в формирование инклюзивной образовательной среды, создание благоприятного психологического климата и обеспечивает доступность профессионального образования, что показывает результаты проведенного тестирования в марте 2023года (рисунок 3).</w:t>
      </w:r>
    </w:p>
    <w:p w:rsid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54E" w:rsidRDefault="009B254E" w:rsidP="009B2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FFD69D" wp14:editId="50D94217">
            <wp:extent cx="4572000" cy="22860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54E" w:rsidRPr="009B254E" w:rsidRDefault="009B254E" w:rsidP="009B2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Рисунок 3 –</w:t>
      </w:r>
      <w:r w:rsidRPr="009B254E">
        <w:rPr>
          <w:rFonts w:ascii="Times New Roman" w:hAnsi="Times New Roman" w:cs="Times New Roman"/>
          <w:sz w:val="24"/>
          <w:szCs w:val="24"/>
        </w:rPr>
        <w:t xml:space="preserve"> Результаты тестирования группы</w:t>
      </w:r>
      <w:r w:rsidRPr="009B254E">
        <w:rPr>
          <w:rFonts w:ascii="Times New Roman" w:hAnsi="Times New Roman" w:cs="Times New Roman"/>
          <w:sz w:val="24"/>
          <w:szCs w:val="24"/>
        </w:rPr>
        <w:t xml:space="preserve"> (март 2023г.)</w:t>
      </w:r>
    </w:p>
    <w:p w:rsidR="009B254E" w:rsidRPr="009B254E" w:rsidRDefault="009B254E" w:rsidP="009B2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54E" w:rsidRPr="009B254E" w:rsidRDefault="009B254E" w:rsidP="009B254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 xml:space="preserve">Над созданием психолого-педагогических, материально-технических условий для комфортного обучения, социальной поддержки инвалидов и лиц с ОВЗ активно работают преподаватели колледжа, социальный педагог, педагог-психолог, куратор. </w:t>
      </w:r>
      <w:proofErr w:type="gramStart"/>
      <w:r w:rsidRPr="009B254E">
        <w:rPr>
          <w:rFonts w:ascii="Times New Roman" w:hAnsi="Times New Roman" w:cs="Times New Roman"/>
          <w:sz w:val="24"/>
          <w:szCs w:val="24"/>
        </w:rPr>
        <w:t>Учитывая особенности психофизического развития обучающихся и состояние их здоровья, сотрудники колледжа развивают у обучающихся познавательную активность, самостоятельность, инициативу, творческие способности, формируют культуру здорового и безопасного образа жизни, активную гражданскую позицию, способность к труду и жизни в условиях современного мира.</w:t>
      </w:r>
      <w:proofErr w:type="gramEnd"/>
    </w:p>
    <w:p w:rsidR="009B254E" w:rsidRPr="009B254E" w:rsidRDefault="009B254E" w:rsidP="009B254E">
      <w:pPr>
        <w:rPr>
          <w:sz w:val="20"/>
          <w:szCs w:val="20"/>
        </w:rPr>
      </w:pPr>
    </w:p>
    <w:p w:rsidR="009B254E" w:rsidRPr="009B254E" w:rsidRDefault="009B254E" w:rsidP="009B2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54E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 И ЛИТЕРАТУРЫ</w:t>
      </w:r>
    </w:p>
    <w:p w:rsidR="009B254E" w:rsidRPr="009B254E" w:rsidRDefault="009B254E" w:rsidP="009B25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B254E" w:rsidRPr="009B254E" w:rsidRDefault="009B254E" w:rsidP="009B254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B254E">
        <w:rPr>
          <w:rFonts w:ascii="Times New Roman" w:hAnsi="Times New Roman" w:cs="Times New Roman"/>
          <w:bCs/>
          <w:iCs/>
          <w:sz w:val="24"/>
          <w:szCs w:val="24"/>
        </w:rPr>
        <w:t>Лоторева</w:t>
      </w:r>
      <w:proofErr w:type="spellEnd"/>
      <w:r w:rsidRPr="009B254E">
        <w:rPr>
          <w:rFonts w:ascii="Times New Roman" w:hAnsi="Times New Roman" w:cs="Times New Roman"/>
          <w:bCs/>
          <w:iCs/>
          <w:sz w:val="24"/>
          <w:szCs w:val="24"/>
        </w:rPr>
        <w:t xml:space="preserve"> Е. В.</w:t>
      </w:r>
      <w:r w:rsidRPr="009B254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B254E">
        <w:rPr>
          <w:rFonts w:ascii="Times New Roman" w:hAnsi="Times New Roman" w:cs="Times New Roman"/>
          <w:bCs/>
          <w:sz w:val="24"/>
          <w:szCs w:val="24"/>
        </w:rPr>
        <w:t>Трудности социализации инвалидов по зрению//</w:t>
      </w:r>
      <w:r w:rsidRPr="009B254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Pr="009B254E">
        <w:rPr>
          <w:rFonts w:ascii="Times New Roman" w:hAnsi="Times New Roman" w:cs="Times New Roman"/>
          <w:bCs/>
          <w:sz w:val="24"/>
          <w:szCs w:val="24"/>
        </w:rPr>
        <w:t>Известия РФЭИ</w:t>
      </w:r>
      <w:r w:rsidRPr="009B254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9B254E">
        <w:rPr>
          <w:rFonts w:ascii="Times New Roman" w:hAnsi="Times New Roman" w:cs="Times New Roman"/>
          <w:bCs/>
          <w:sz w:val="24"/>
          <w:szCs w:val="24"/>
        </w:rPr>
        <w:t>№ 2 от 2013 года https://science.rfei.ru/ru/2013/2/25.html</w:t>
      </w:r>
    </w:p>
    <w:p w:rsidR="009B254E" w:rsidRPr="009B254E" w:rsidRDefault="009B254E" w:rsidP="009B254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B254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Методические рекомендации по комплексному психолого-педагогическому, в том числе </w:t>
      </w:r>
      <w:proofErr w:type="spellStart"/>
      <w:r w:rsidRPr="009B254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тьюторскому</w:t>
      </w:r>
      <w:proofErr w:type="spellEnd"/>
      <w:r w:rsidRPr="009B254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, сопровождению студентов с инвалидностью, обучающихся по программам среднего профессионального образования / Д.Р. Макеева, Е.А. </w:t>
      </w:r>
      <w:proofErr w:type="spellStart"/>
      <w:r w:rsidRPr="009B254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Канатникова</w:t>
      </w:r>
      <w:proofErr w:type="spellEnd"/>
      <w:r w:rsidRPr="009B254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, Е.А. </w:t>
      </w:r>
      <w:proofErr w:type="spellStart"/>
      <w:r w:rsidRPr="009B254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Деникаева</w:t>
      </w:r>
      <w:proofErr w:type="spellEnd"/>
      <w:r w:rsidRPr="009B254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[и др.]. – М.: ФГБОУ ДПО ИРПО, 2022. – 53 с.</w:t>
      </w:r>
    </w:p>
    <w:p w:rsidR="009B254E" w:rsidRPr="009B254E" w:rsidRDefault="009B254E" w:rsidP="009B254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54E">
        <w:rPr>
          <w:rFonts w:ascii="Times New Roman" w:hAnsi="Times New Roman" w:cs="Times New Roman"/>
          <w:bCs/>
          <w:sz w:val="24"/>
          <w:szCs w:val="24"/>
        </w:rPr>
        <w:t>Оценка инклюзивного процесса в образовательной организации</w:t>
      </w:r>
      <w:proofErr w:type="gramStart"/>
      <w:r w:rsidRPr="009B254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B254E">
        <w:rPr>
          <w:rFonts w:ascii="Times New Roman" w:hAnsi="Times New Roman" w:cs="Times New Roman"/>
          <w:bCs/>
          <w:sz w:val="24"/>
          <w:szCs w:val="24"/>
        </w:rPr>
        <w:t xml:space="preserve"> методическое пособие / под ред. С.В. Алехиной, Е.В. Самсоновой. – М.</w:t>
      </w:r>
      <w:proofErr w:type="gramStart"/>
      <w:r w:rsidRPr="009B254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B254E">
        <w:rPr>
          <w:rFonts w:ascii="Times New Roman" w:hAnsi="Times New Roman" w:cs="Times New Roman"/>
          <w:bCs/>
          <w:sz w:val="24"/>
          <w:szCs w:val="24"/>
        </w:rPr>
        <w:t xml:space="preserve"> МГППУ, 2022. ‒ 77 с.</w:t>
      </w:r>
    </w:p>
    <w:p w:rsidR="009B254E" w:rsidRPr="009B254E" w:rsidRDefault="009B254E" w:rsidP="009B254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 xml:space="preserve">Психологический портрет человека: как составить, примеры Источник: </w:t>
      </w:r>
      <w:hyperlink r:id="rId8" w:history="1">
        <w:r w:rsidRPr="009B254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https://lifemotivation.online/razvitie-lichnosti/samorazvitie/psihologicheskij-portret-lichnosti</w:t>
        </w:r>
      </w:hyperlink>
      <w:r w:rsidRPr="009B2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54E" w:rsidRPr="009B254E" w:rsidRDefault="009B254E" w:rsidP="009B254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Создание инклюзивной среды в образовательных организациях среднего профессионального образования: методические рекоменд</w:t>
      </w:r>
      <w:bookmarkStart w:id="0" w:name="_GoBack"/>
      <w:bookmarkEnd w:id="0"/>
      <w:r w:rsidRPr="009B254E">
        <w:rPr>
          <w:rFonts w:ascii="Times New Roman" w:hAnsi="Times New Roman" w:cs="Times New Roman"/>
          <w:sz w:val="24"/>
          <w:szCs w:val="24"/>
        </w:rPr>
        <w:t xml:space="preserve">ации / под редакцией Е.Н. </w:t>
      </w:r>
      <w:proofErr w:type="spellStart"/>
      <w:r w:rsidRPr="009B254E">
        <w:rPr>
          <w:rFonts w:ascii="Times New Roman" w:hAnsi="Times New Roman" w:cs="Times New Roman"/>
          <w:sz w:val="24"/>
          <w:szCs w:val="24"/>
        </w:rPr>
        <w:t>Кутеповой</w:t>
      </w:r>
      <w:proofErr w:type="spellEnd"/>
      <w:r w:rsidRPr="009B254E">
        <w:rPr>
          <w:rFonts w:ascii="Times New Roman" w:hAnsi="Times New Roman" w:cs="Times New Roman"/>
          <w:sz w:val="24"/>
          <w:szCs w:val="24"/>
        </w:rPr>
        <w:t>, Е.В. Самсоновой. – М.</w:t>
      </w:r>
      <w:proofErr w:type="gramStart"/>
      <w:r w:rsidRPr="009B25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B254E">
        <w:rPr>
          <w:rFonts w:ascii="Times New Roman" w:hAnsi="Times New Roman" w:cs="Times New Roman"/>
          <w:sz w:val="24"/>
          <w:szCs w:val="24"/>
        </w:rPr>
        <w:t xml:space="preserve"> МГППУ, 2022. ‒ 82 с</w:t>
      </w:r>
    </w:p>
    <w:p w:rsidR="009B254E" w:rsidRPr="009B254E" w:rsidRDefault="009B254E" w:rsidP="009B254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r w:rsidRPr="009B254E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Солдатов Д.В. Психолого-педагогическое сопровождение инклюзивного профессионального образования инвалидов и лиц с ОВЗ ЖУРНАЛ</w:t>
      </w:r>
    </w:p>
    <w:p w:rsidR="009B254E" w:rsidRPr="009B254E" w:rsidRDefault="009B254E" w:rsidP="009B254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54E">
        <w:rPr>
          <w:rFonts w:ascii="Times New Roman" w:hAnsi="Times New Roman" w:cs="Times New Roman"/>
          <w:bCs/>
          <w:sz w:val="24"/>
          <w:szCs w:val="24"/>
        </w:rPr>
        <w:t xml:space="preserve">Стадии принятия себя после получения инвалидности </w:t>
      </w:r>
      <w:hyperlink r:id="rId9" w:history="1">
        <w:r w:rsidRPr="009B254E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https://invabeloretsk.ru/poleznaa-informacia/psikhologiya/stadii-prinyatiya-sebya-posle-polucheniya-invalidnosti</w:t>
        </w:r>
      </w:hyperlink>
    </w:p>
    <w:p w:rsidR="009B254E" w:rsidRDefault="009B254E" w:rsidP="009B254E"/>
    <w:sectPr w:rsidR="009B254E" w:rsidSect="000249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14D02"/>
    <w:multiLevelType w:val="hybridMultilevel"/>
    <w:tmpl w:val="D0E8DA14"/>
    <w:lvl w:ilvl="0" w:tplc="21426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4E"/>
    <w:rsid w:val="0002496A"/>
    <w:rsid w:val="009B254E"/>
    <w:rsid w:val="00B764E0"/>
    <w:rsid w:val="00C37BA4"/>
    <w:rsid w:val="00F2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5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B25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B2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5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B25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B2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motivation.online/razvitie-lichnosti/samorazvitie/psihologicheskij-portret-lichnosti" TargetMode="Externa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vabeloretsk.ru/poleznaa-informacia/psikhologiya/stadii-prinyatiya-sebya-posle-polucheniya-invalidnosti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Лист1!$C$5</c:f>
              <c:strCache>
                <c:ptCount val="1"/>
                <c:pt idx="0">
                  <c:v>низкая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Лист1!$A$6:$B$9</c:f>
              <c:strCache>
                <c:ptCount val="4"/>
                <c:pt idx="0">
                  <c:v>ригидность</c:v>
                </c:pt>
                <c:pt idx="1">
                  <c:v>агрессивность</c:v>
                </c:pt>
                <c:pt idx="2">
                  <c:v>фрустрация</c:v>
                </c:pt>
                <c:pt idx="3">
                  <c:v>тревожность</c:v>
                </c:pt>
              </c:strCache>
            </c:strRef>
          </c:cat>
          <c:val>
            <c:numRef>
              <c:f>Лист1!$C$6:$C$9</c:f>
              <c:numCache>
                <c:formatCode>0%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Лист1!$D$5</c:f>
              <c:strCache>
                <c:ptCount val="1"/>
                <c:pt idx="0">
                  <c:v>средняя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2.499999999999979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Лист1!$A$6:$B$9</c:f>
              <c:strCache>
                <c:ptCount val="4"/>
                <c:pt idx="0">
                  <c:v>ригидность</c:v>
                </c:pt>
                <c:pt idx="1">
                  <c:v>агрессивность</c:v>
                </c:pt>
                <c:pt idx="2">
                  <c:v>фрустрация</c:v>
                </c:pt>
                <c:pt idx="3">
                  <c:v>тревожность</c:v>
                </c:pt>
              </c:strCache>
            </c:strRef>
          </c:cat>
          <c:val>
            <c:numRef>
              <c:f>Лист1!$D$6:$D$9</c:f>
              <c:numCache>
                <c:formatCode>0%</c:formatCode>
                <c:ptCount val="4"/>
                <c:pt idx="0">
                  <c:v>0.5</c:v>
                </c:pt>
                <c:pt idx="1">
                  <c:v>0.6</c:v>
                </c:pt>
                <c:pt idx="2">
                  <c:v>0.5</c:v>
                </c:pt>
                <c:pt idx="3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Лист1!$E$5</c:f>
              <c:strCache>
                <c:ptCount val="1"/>
                <c:pt idx="0">
                  <c:v>высокая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Лист1!$A$6:$B$9</c:f>
              <c:strCache>
                <c:ptCount val="4"/>
                <c:pt idx="0">
                  <c:v>ригидность</c:v>
                </c:pt>
                <c:pt idx="1">
                  <c:v>агрессивность</c:v>
                </c:pt>
                <c:pt idx="2">
                  <c:v>фрустрация</c:v>
                </c:pt>
                <c:pt idx="3">
                  <c:v>тревожность</c:v>
                </c:pt>
              </c:strCache>
            </c:strRef>
          </c:cat>
          <c:val>
            <c:numRef>
              <c:f>Лист1!$E$6:$E$9</c:f>
              <c:numCache>
                <c:formatCode>0%</c:formatCode>
                <c:ptCount val="4"/>
                <c:pt idx="0">
                  <c:v>0.3</c:v>
                </c:pt>
                <c:pt idx="1">
                  <c:v>0.2</c:v>
                </c:pt>
                <c:pt idx="2">
                  <c:v>0.2</c:v>
                </c:pt>
                <c:pt idx="3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598656"/>
        <c:axId val="60157888"/>
      </c:barChart>
      <c:catAx>
        <c:axId val="78598656"/>
        <c:scaling>
          <c:orientation val="minMax"/>
        </c:scaling>
        <c:delete val="0"/>
        <c:axPos val="b"/>
        <c:majorTickMark val="out"/>
        <c:minorTickMark val="none"/>
        <c:tickLblPos val="nextTo"/>
        <c:crossAx val="60157888"/>
        <c:crosses val="autoZero"/>
        <c:auto val="1"/>
        <c:lblAlgn val="ctr"/>
        <c:lblOffset val="100"/>
        <c:noMultiLvlLbl val="0"/>
      </c:catAx>
      <c:valAx>
        <c:axId val="601578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859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Лист1!$C$26</c:f>
              <c:strCache>
                <c:ptCount val="1"/>
                <c:pt idx="0">
                  <c:v>низкая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Лист1!$A$27:$B$30</c:f>
              <c:strCache>
                <c:ptCount val="4"/>
                <c:pt idx="0">
                  <c:v>ригидность</c:v>
                </c:pt>
                <c:pt idx="1">
                  <c:v>агрессивность</c:v>
                </c:pt>
                <c:pt idx="2">
                  <c:v>фрустрация</c:v>
                </c:pt>
                <c:pt idx="3">
                  <c:v>тревожность</c:v>
                </c:pt>
              </c:strCache>
            </c:strRef>
          </c:cat>
          <c:val>
            <c:numRef>
              <c:f>Лист1!$C$27:$C$30</c:f>
              <c:numCache>
                <c:formatCode>0%</c:formatCode>
                <c:ptCount val="4"/>
                <c:pt idx="0">
                  <c:v>0.3</c:v>
                </c:pt>
                <c:pt idx="1">
                  <c:v>0.4</c:v>
                </c:pt>
                <c:pt idx="2">
                  <c:v>0.5</c:v>
                </c:pt>
                <c:pt idx="3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Лист1!$D$26</c:f>
              <c:strCache>
                <c:ptCount val="1"/>
                <c:pt idx="0">
                  <c:v>средняя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8.3333333333333332E-3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Лист1!$A$27:$B$30</c:f>
              <c:strCache>
                <c:ptCount val="4"/>
                <c:pt idx="0">
                  <c:v>ригидность</c:v>
                </c:pt>
                <c:pt idx="1">
                  <c:v>агрессивность</c:v>
                </c:pt>
                <c:pt idx="2">
                  <c:v>фрустрация</c:v>
                </c:pt>
                <c:pt idx="3">
                  <c:v>тревожность</c:v>
                </c:pt>
              </c:strCache>
            </c:strRef>
          </c:cat>
          <c:val>
            <c:numRef>
              <c:f>Лист1!$D$27:$D$30</c:f>
              <c:numCache>
                <c:formatCode>0%</c:formatCode>
                <c:ptCount val="4"/>
                <c:pt idx="0">
                  <c:v>0.6</c:v>
                </c:pt>
                <c:pt idx="1">
                  <c:v>0.5</c:v>
                </c:pt>
                <c:pt idx="2">
                  <c:v>0.5</c:v>
                </c:pt>
                <c:pt idx="3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Лист1!$E$26</c:f>
              <c:strCache>
                <c:ptCount val="1"/>
                <c:pt idx="0">
                  <c:v>высокая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Лист1!$A$27:$B$30</c:f>
              <c:strCache>
                <c:ptCount val="4"/>
                <c:pt idx="0">
                  <c:v>ригидность</c:v>
                </c:pt>
                <c:pt idx="1">
                  <c:v>агрессивность</c:v>
                </c:pt>
                <c:pt idx="2">
                  <c:v>фрустрация</c:v>
                </c:pt>
                <c:pt idx="3">
                  <c:v>тревожность</c:v>
                </c:pt>
              </c:strCache>
            </c:strRef>
          </c:cat>
          <c:val>
            <c:numRef>
              <c:f>Лист1!$E$27:$E$30</c:f>
              <c:numCache>
                <c:formatCode>0%</c:formatCode>
                <c:ptCount val="4"/>
                <c:pt idx="0">
                  <c:v>0.1</c:v>
                </c:pt>
                <c:pt idx="1">
                  <c:v>0.1</c:v>
                </c:pt>
                <c:pt idx="2">
                  <c:v>0</c:v>
                </c:pt>
                <c:pt idx="3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601216"/>
        <c:axId val="66060864"/>
      </c:barChart>
      <c:catAx>
        <c:axId val="78601216"/>
        <c:scaling>
          <c:orientation val="minMax"/>
        </c:scaling>
        <c:delete val="0"/>
        <c:axPos val="b"/>
        <c:majorTickMark val="out"/>
        <c:minorTickMark val="none"/>
        <c:tickLblPos val="nextTo"/>
        <c:crossAx val="66060864"/>
        <c:crosses val="autoZero"/>
        <c:auto val="1"/>
        <c:lblAlgn val="ctr"/>
        <c:lblOffset val="100"/>
        <c:noMultiLvlLbl val="0"/>
      </c:catAx>
      <c:valAx>
        <c:axId val="660608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8601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2892</Words>
  <Characters>16485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Методические рекомендации по комплексному психолого-педагогическому, в том числе</vt:lpstr>
      <vt:lpstr>Проблемы современного педагогического образования, 2018 https://cyberleninka.ru/</vt:lpstr>
      <vt:lpstr>Солдатов Д.В. Психолого-педагогическое сопровождение инклюзивного профессиональн</vt:lpstr>
    </vt:vector>
  </TitlesOfParts>
  <Company/>
  <LinksUpToDate>false</LinksUpToDate>
  <CharactersWithSpaces>19339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2023-09-29T04:37:00Z</dcterms:created>
  <dcterms:modified xsi:type="dcterms:W3CDTF">2023-09-29T05:09:00Z</dcterms:modified>
</cp:coreProperties>
</file>