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24" w:rsidRPr="00924CCB" w:rsidRDefault="00AC42E4" w:rsidP="002D6BCF">
      <w:pPr>
        <w:spacing w:after="0"/>
        <w:jc w:val="center"/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</w:pPr>
      <w:r w:rsidRPr="00924CCB"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  <w:t>Актуализация при</w:t>
      </w:r>
      <w:r w:rsidR="002D6BCF" w:rsidRPr="00924CCB"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  <w:t xml:space="preserve"> написании ВКР</w:t>
      </w:r>
    </w:p>
    <w:p w:rsidR="002D6BCF" w:rsidRPr="00924CCB" w:rsidRDefault="002D6BCF" w:rsidP="002D6BCF">
      <w:pPr>
        <w:spacing w:after="0"/>
        <w:jc w:val="center"/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</w:pPr>
      <w:r w:rsidRPr="00924CCB"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  <w:t>Попова Татьяна Юрьевна, п</w:t>
      </w:r>
      <w:r w:rsidR="00AC42E4" w:rsidRPr="00924CCB"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  <w:t xml:space="preserve">реподаватель </w:t>
      </w:r>
    </w:p>
    <w:p w:rsidR="00AC42E4" w:rsidRPr="00924CCB" w:rsidRDefault="00AC42E4" w:rsidP="002D6BCF">
      <w:pPr>
        <w:spacing w:after="0"/>
        <w:jc w:val="center"/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</w:pPr>
      <w:r w:rsidRPr="00924CCB"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  <w:t xml:space="preserve">БПОУ ВО </w:t>
      </w:r>
      <w:r w:rsidR="002D6BCF" w:rsidRPr="00924CCB"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  <w:t>«Воронежский базовый медицинский колледж»</w:t>
      </w:r>
    </w:p>
    <w:p w:rsidR="002D6BCF" w:rsidRDefault="000F3A24" w:rsidP="002D6BCF">
      <w:pPr>
        <w:spacing w:after="0"/>
        <w:ind w:firstLine="567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924CCB" w:rsidRDefault="00213070" w:rsidP="002D6BCF">
      <w:pPr>
        <w:spacing w:after="0"/>
        <w:ind w:firstLine="567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Н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аписание ВКР актуально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для студент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ов медицинских колледжей до 2026 года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 при этом планирование, процесс создания и защита работы осуществляется с</w:t>
      </w:r>
      <w:r w:rsidR="00F5534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тудентом 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на последнем курсе </w:t>
      </w:r>
      <w:r w:rsidR="00F5534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[1].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К этому времени учащийся готов к выбору</w:t>
      </w:r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того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направления</w:t>
      </w:r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в котором он хочет получить более углубленные знания и проявить себя. Однако ему предстоит проделать долгий и сложный путь включающий: уточнение темы, постановку цели, определение задач,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выполнение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самой работы,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аргументац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ию выводов, 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составление рекомендаций. Далее предстоит не менее ответственный шаг - защита самой работы. В прохождении всех этих этапов его сопровождает научный руководитель. Имея собственный девятилетний опыт курирования написания работ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можно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сказать, что продолжаю совершенствоваться в этом вопросе. Какие же цели стоят перед научным руководителем? Конечно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это </w:t>
      </w:r>
      <w:proofErr w:type="gramStart"/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подготовка 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квалифицированного</w:t>
      </w:r>
      <w:proofErr w:type="gramEnd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специалиста</w:t>
      </w:r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умеющего самостоятельно организовывать свою деятельность, осуществлять её на высшем уровне и быть ответственным за проделанну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ю работу. Таким образом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задачами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преподавате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ля являются развитие и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поощрение желания студента самостоятельно работать. Уже при выборе темы необходимо актуализировать информацию для каждого конкретного студента с учётом личностных особенностей учащегося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двигаясь от общего к частному. Так одним будет более близка педиатрия</w:t>
      </w:r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а другим ге</w:t>
      </w:r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ронтология,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хирургическая темати</w:t>
      </w:r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ка или терапевтическая,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профилактика, лечение или реабилитация. Чаще всего интересы выпускника уже ориентированы на его будущее место трудоустройства или личную заинтересованность. Некоторые студенты выбирают тематику того профиля в отделении которого собираются работать (кардиология, пульмонология, травматология и </w:t>
      </w:r>
      <w:proofErr w:type="spellStart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т.д</w:t>
      </w:r>
      <w:proofErr w:type="spellEnd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). А некоторые выпускницы выбир</w:t>
      </w:r>
      <w:r w:rsidR="00B0397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ают 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актуальные для себя 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темы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касающиеся планирования, течения беременности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 нормальных родов, организации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вскармливания и т. д.  Когда учащийся почувствовал нужную лично для себя и своей деятельности тему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сразу рождается желание работать. Очень важно пред</w:t>
      </w:r>
      <w:r w:rsidR="000860F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оставить ему свободу творчества, а затем направить.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B77A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Е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сли он выбирает тему: "Роль медицинской сестры в лечении пациентов с заболеваниями органов дыхания", то ему предстоит решить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: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хочет ли он писать об амбула</w:t>
      </w:r>
      <w:r w:rsidR="00CB77A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торном или стационарном лечении.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CB77A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В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озможно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CB77A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его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интересуют вопросы реабилитации данной группы пациентов и</w:t>
      </w:r>
      <w:r w:rsidR="00CB77A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ли он 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будет изучать</w:t>
      </w:r>
      <w:r w:rsidR="00CB77A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профилактику. 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Важно определиться каких пациентов </w:t>
      </w:r>
      <w:proofErr w:type="gramStart"/>
      <w:r w:rsidR="00AC42E4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исследовать</w:t>
      </w:r>
      <w:r w:rsidR="000860F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взросл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ых</w:t>
      </w:r>
      <w:proofErr w:type="gramEnd"/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или детей [</w:t>
      </w:r>
      <w:r w:rsidR="00F5534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2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].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Когда выпускник понимает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 чем конкретно он будет писать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уходит страх, тем более, что к этому времени устанавливается взаимосвязь между учащимся и руководителем. Для того чтобы разбудить интерес, вдохновить на работу </w:t>
      </w:r>
      <w:proofErr w:type="gramStart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преподаватель  должен</w:t>
      </w:r>
      <w:proofErr w:type="gramEnd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сам обладать широким спектром знаний, а поскольку мы являемся методистами нам необходимо адаптировать и персонализировать подачу этих знаний, чтобы студент не утонул в море информации. Итак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выпускнику 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lastRenderedPageBreak/>
        <w:t>становится интересно, он начинает самостоятельно осваивать информацию, преодолевать страх с помощью научного руководителя, проявлять инициативу.  Учащ</w:t>
      </w:r>
      <w:r w:rsidR="000860FA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ийся чувствует свою значимость,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процесс работы начинает приносить удовлетворение.</w:t>
      </w:r>
    </w:p>
    <w:p w:rsidR="00CF2F95" w:rsidRPr="002D6BCF" w:rsidRDefault="000860FA" w:rsidP="002D6BCF">
      <w:pPr>
        <w:spacing w:after="0"/>
        <w:ind w:firstLine="567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На данном этапе работы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когда кажется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что все хорошо, важн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о иметь ввиду, </w:t>
      </w:r>
      <w:proofErr w:type="gramStart"/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что  мы</w:t>
      </w:r>
      <w:proofErr w:type="gramEnd"/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можем столкнуться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 таким явлением как лень. Она заложена в природе к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аждого из нас. У студента может появиться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соблазн найти готовую работу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 списать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. Мы видим в 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интернете предложения с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proofErr w:type="gramStart"/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продажей  рефератов</w:t>
      </w:r>
      <w:proofErr w:type="gramEnd"/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 дипломов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 т. д., иногда работы передаются студентам "по наследству" от выпускников, да и</w:t>
      </w:r>
      <w:r w:rsidR="00EC259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просто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в свободном доступе на просторах интернета всегда можно найти готовые материалы на любую тему. Конечно</w:t>
      </w:r>
      <w:r w:rsidR="009A196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выпускник должен делать работу сам!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 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Задачей куратора является контроль за самостоятельностью выполнения работы.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На мой взгляд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чтобы до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биться этого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нужно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доверительно 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открыто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разговаривать</w:t>
      </w:r>
      <w:r w:rsidR="00BC6A0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 учащимся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на тему </w:t>
      </w:r>
      <w:proofErr w:type="gramStart"/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желания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приобрести</w:t>
      </w:r>
      <w:proofErr w:type="gramEnd"/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готовую работу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 последствиями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 к которым это может привести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.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 К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аждый раз возвращать его в правильное русло. Аргументацией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опять же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становится актуализация важности написания ВКР самостоятельно. Работа выполняется, чтобы удовлетворить собственные высшие потребности студента в достижении успеха, одобрении, признаний, потребности в уважении, в знании</w:t>
      </w:r>
      <w:r w:rsidR="009A196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умении, понимании. Человеку не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бходимо удовлетворять познавательные и эстетические потребности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для себя самого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. Если учащийся воспользуется готовым вариантом в работе (любой, не только написание ВКР) это не принесёт ем</w:t>
      </w:r>
      <w:r w:rsidR="009A196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у личной самореализации. К сожалению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встречаются случаи,</w:t>
      </w:r>
      <w:r w:rsidR="009A196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когда образование не приносит должного результата. Н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а работе такой выпускник</w:t>
      </w:r>
      <w:r w:rsidR="009A196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не справляется с обязанностями и 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испытывает</w:t>
      </w:r>
      <w:r w:rsidR="009A196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огромный стресс. В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итоге </w:t>
      </w:r>
      <w:r w:rsidR="009A196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мы 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получаем несостоявшегося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профессионально человека и без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возвратно потер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янное время. Куратор должен разъяснить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это 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студенту. 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Возвращаясь к вопросу 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об 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информации в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свободном доступе в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интернете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необходимо сказать, что нужно 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использовать уже имеющий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ся накопленный опыт. Я считаю даже полезным изучить то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что уже сделано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то есть работы на похожие темы для того, чтобы создать свой собственный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уникальный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качественный продукт. Полезно также 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указать 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студенту, что он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сохраняет, т.е.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у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же зарабатывает реальные деньги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те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которые 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он бы потратил</w:t>
      </w:r>
      <w:r w:rsidR="00D9051D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на чью-то помощь. Э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та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прибыль умножается потому, что он, получая собственный опыт и знания, теперь усп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ешно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сам сможет работать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. Он становится профессионалом.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Педагогам необходимо находиться начеку на всех этапах написания </w:t>
      </w:r>
      <w:proofErr w:type="gramStart"/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ВКР,  регулярно</w:t>
      </w:r>
      <w:proofErr w:type="gramEnd"/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запрашивать и обсуждать с подопечными выполненную часть работы. При этом сразу становится понятно</w:t>
      </w:r>
      <w:r w:rsidR="00B20286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: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выполнил ли он её сам или списал. При необходимости заново актуализировать. Процесс промежуточных проверок осуществляется в соответствии с планом написания ВКР и в случае невыполнения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требований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пишутся служебные записки к руководству с пояснением сложившейся ситуации</w:t>
      </w:r>
      <w:r w:rsidR="00F5534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[3]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. Когда подходит </w:t>
      </w:r>
      <w:proofErr w:type="gramStart"/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срок сдачи готовой работы</w:t>
      </w:r>
      <w:proofErr w:type="gramEnd"/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 её защита эта информация оказывает влияние на результаты оценки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 защиты ВКР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. 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П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реподавателю необходимо 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сообщать 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туденту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о таких </w:t>
      </w:r>
      <w:proofErr w:type="gramStart"/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докладах,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 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если</w:t>
      </w:r>
      <w:proofErr w:type="gramEnd"/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они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составляются и объяснять, что работа может быть даже не 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lastRenderedPageBreak/>
        <w:t xml:space="preserve">допущена к защите. 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Так как </w:t>
      </w:r>
      <w:proofErr w:type="gramStart"/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действенными  являются</w:t>
      </w:r>
      <w:proofErr w:type="gramEnd"/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не только методы поощрения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5463E9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но и наказания. Это отлично дисциплинирует выпускника.  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Но подчеркну, что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целью является развить у студента желание работать</w:t>
      </w:r>
      <w:r w:rsidR="00B27DD8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 а не запугать</w:t>
      </w:r>
      <w:r w:rsidR="00A41FA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.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8E6ED2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Поэтому 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нужно также учитывать индивидуальные особенности </w:t>
      </w:r>
      <w:proofErr w:type="gramStart"/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учащегося:  одного</w:t>
      </w:r>
      <w:proofErr w:type="gramEnd"/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угроз</w:t>
      </w:r>
      <w:r w:rsidR="002900D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а отчисления только начнёт расшев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еливать и стимулировать, а другого возможность снижения оценки расстроит и отобьёт всё желание работать. </w:t>
      </w:r>
      <w:r w:rsidR="008E6ED2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Н</w:t>
      </w:r>
      <w:r w:rsidR="00213070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еобходимо придерживаться здравого баланса, опираться на критерии оценки работы, обсуждать их со студентом, ра</w:t>
      </w:r>
      <w:r w:rsidR="008E6ED2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зъяснять сколько уже сделано</w:t>
      </w:r>
      <w:r w:rsidR="00CF2F9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 что еще предстоит.</w:t>
      </w:r>
    </w:p>
    <w:p w:rsidR="000F3A24" w:rsidRDefault="00213070" w:rsidP="002D6BCF">
      <w:pPr>
        <w:spacing w:after="0"/>
        <w:ind w:firstLine="567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Итак</w:t>
      </w:r>
      <w:r w:rsidR="002900D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мы успешно выбрали </w:t>
      </w:r>
      <w:proofErr w:type="gramStart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тему</w:t>
      </w:r>
      <w:proofErr w:type="gramEnd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 работа кипит. Мы проходим все этапы написания работы: составляем</w:t>
      </w:r>
      <w:r w:rsidR="00CF2F9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план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, список литературы и источников, теоретическую часть, определяем направление исследования, создаём практическую часть. И конечно данное перечисление действий подразумевает </w:t>
      </w:r>
      <w:proofErr w:type="gramStart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под каждым отдельный этап</w:t>
      </w:r>
      <w:proofErr w:type="gramEnd"/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со своими задачами и сложностями, но если работа пошла в правильном русле</w:t>
      </w:r>
      <w:r w:rsidR="002900D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то руководителям остаётся только лишь корректировать и разъяснять текущие вопросы и следить за тем, чтобы ваш подопечный дал</w:t>
      </w:r>
      <w:r w:rsidR="00CF2F9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еко не отклонился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от выбранной темы. При этом даже если это не </w:t>
      </w:r>
      <w:r w:rsidR="00CF2F9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«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отличная</w:t>
      </w:r>
      <w:r w:rsidR="00CF2F95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»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работа</w:t>
      </w:r>
      <w:r w:rsidR="002900D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а на уровне </w:t>
      </w:r>
      <w:r w:rsidR="002900D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«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хорошо</w:t>
      </w:r>
      <w:r w:rsidR="002900D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»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или </w:t>
      </w:r>
      <w:r w:rsidR="002900D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«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удовлетворительно</w:t>
      </w:r>
      <w:r w:rsidR="002900D1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»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мы можем созидать самостоятельные шаги в достижении успеха нашими выпускниками. </w:t>
      </w:r>
      <w:r w:rsidR="008E6ED2"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Ц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ель методиста-преподавателя достигнута.</w:t>
      </w:r>
    </w:p>
    <w:p w:rsidR="00924CCB" w:rsidRPr="002D6BCF" w:rsidRDefault="00924CCB" w:rsidP="002D6BCF">
      <w:pPr>
        <w:spacing w:after="0"/>
        <w:ind w:firstLine="567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</w:p>
    <w:p w:rsidR="00924CCB" w:rsidRDefault="00924CCB" w:rsidP="00924CCB">
      <w:pPr>
        <w:spacing w:after="0"/>
        <w:ind w:firstLine="567"/>
        <w:jc w:val="center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Список литературы</w:t>
      </w:r>
    </w:p>
    <w:p w:rsidR="00924CCB" w:rsidRPr="00924CCB" w:rsidRDefault="00CF2F95" w:rsidP="00924CCB">
      <w:pPr>
        <w:spacing w:after="0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D6BCF">
        <w:rPr>
          <w:rFonts w:ascii="Times New Roman" w:hAnsi="Times New Roman" w:cs="Times New Roman"/>
          <w:sz w:val="26"/>
          <w:szCs w:val="26"/>
        </w:rPr>
        <w:t>1</w:t>
      </w:r>
      <w:r w:rsidR="00924CCB">
        <w:rPr>
          <w:rFonts w:ascii="Times New Roman" w:hAnsi="Times New Roman" w:cs="Times New Roman"/>
          <w:sz w:val="26"/>
          <w:szCs w:val="26"/>
        </w:rPr>
        <w:t>.</w:t>
      </w:r>
      <w:r w:rsidRPr="002D6BC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924CC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Приказ Министерства просвещения Российской Федерации от 04.07.2022 № </w:t>
      </w:r>
      <w:r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527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</w:r>
      <w:r w:rsidR="00924CCB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(Зарегистрирован 29.07.2022 № 69452) </w:t>
      </w:r>
      <w:hyperlink r:id="rId4" w:history="1">
        <w:r w:rsidR="00924CCB" w:rsidRPr="00924CC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http://publication.pravo.gov.ru/Document/View/0001202207290028</w:t>
        </w:r>
      </w:hyperlink>
    </w:p>
    <w:p w:rsidR="00924CCB" w:rsidRPr="00924CCB" w:rsidRDefault="00213070" w:rsidP="00924C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Выблова</w:t>
      </w:r>
      <w:proofErr w:type="spellEnd"/>
      <w:r w:rsidR="002900D1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 Н.</w:t>
      </w:r>
      <w:r w:rsidR="002900D1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Главное в ВКР ее название.</w:t>
      </w:r>
      <w:r w:rsidR="00F55348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 Т.Н. </w:t>
      </w:r>
      <w:proofErr w:type="spellStart"/>
      <w:r w:rsidR="00F55348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Выблова</w:t>
      </w:r>
      <w:proofErr w:type="spellEnd"/>
      <w:r w:rsidR="002900D1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5" w:history="1">
        <w:r w:rsidR="00924CCB" w:rsidRPr="00924CC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https://www.informio.ru/files/main/documents/2021/06/statja_po_VKR.docx</w:t>
        </w:r>
      </w:hyperlink>
      <w:r w:rsidR="00924CCB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40123" w:rsidRPr="00924CCB" w:rsidRDefault="00F55348" w:rsidP="00924C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="002900D1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213070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етод</w:t>
      </w:r>
      <w:r w:rsidR="002900D1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>ические</w:t>
      </w:r>
      <w:r w:rsidR="00213070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рек</w:t>
      </w:r>
      <w:r w:rsidR="002900D1" w:rsidRPr="00924C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омендации по написанию и оформлению ВКР </w:t>
      </w:r>
      <w:hyperlink r:id="rId6" w:history="1">
        <w:r w:rsidR="00924CCB" w:rsidRPr="00924CC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http://www.vbmk.vrn.ru/documents/metodrekom.doc</w:t>
        </w:r>
      </w:hyperlink>
    </w:p>
    <w:p w:rsidR="00924CCB" w:rsidRPr="00924CCB" w:rsidRDefault="00924CCB" w:rsidP="00924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CCB" w:rsidRPr="00924CCB" w:rsidSect="002D6B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D8"/>
    <w:rsid w:val="000845D8"/>
    <w:rsid w:val="000860FA"/>
    <w:rsid w:val="000E54DA"/>
    <w:rsid w:val="000F3A24"/>
    <w:rsid w:val="00213070"/>
    <w:rsid w:val="00217514"/>
    <w:rsid w:val="002900D1"/>
    <w:rsid w:val="002D6BCF"/>
    <w:rsid w:val="003F0778"/>
    <w:rsid w:val="005463E9"/>
    <w:rsid w:val="005973C3"/>
    <w:rsid w:val="005A0C72"/>
    <w:rsid w:val="008E6ED2"/>
    <w:rsid w:val="00924CCB"/>
    <w:rsid w:val="009A1965"/>
    <w:rsid w:val="00A41FA1"/>
    <w:rsid w:val="00AB2917"/>
    <w:rsid w:val="00AC42E4"/>
    <w:rsid w:val="00B0397D"/>
    <w:rsid w:val="00B20286"/>
    <w:rsid w:val="00B27DD8"/>
    <w:rsid w:val="00BC6A00"/>
    <w:rsid w:val="00C57675"/>
    <w:rsid w:val="00CB77AA"/>
    <w:rsid w:val="00CF2F95"/>
    <w:rsid w:val="00D9051D"/>
    <w:rsid w:val="00EC2598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6823"/>
  <w15:docId w15:val="{EB64163F-38D0-407B-93BE-6240F114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bmk.vrn.ru/documents/metodrekom.doc" TargetMode="External"/><Relationship Id="rId5" Type="http://schemas.openxmlformats.org/officeDocument/2006/relationships/hyperlink" Target="https://www.informio.ru/files/main/documents/2021/06/statja_po_VKR.docx" TargetMode="External"/><Relationship Id="rId4" Type="http://schemas.openxmlformats.org/officeDocument/2006/relationships/hyperlink" Target="http://publication.pravo.gov.ru/Document/View/000120220729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dcterms:created xsi:type="dcterms:W3CDTF">2023-08-24T09:16:00Z</dcterms:created>
  <dcterms:modified xsi:type="dcterms:W3CDTF">2023-09-07T10:59:00Z</dcterms:modified>
</cp:coreProperties>
</file>