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9B" w:rsidRDefault="0073045B" w:rsidP="000218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</w:t>
      </w:r>
      <w:proofErr w:type="spellStart"/>
      <w:r w:rsidR="00BE3B46" w:rsidRPr="0002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балльно</w:t>
      </w:r>
      <w:proofErr w:type="spellEnd"/>
      <w:r w:rsidR="00BE3B46" w:rsidRPr="0002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рейтинговой</w:t>
      </w:r>
      <w:r w:rsidRPr="0002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</w:t>
      </w:r>
      <w:r w:rsidR="002B7B9B" w:rsidRPr="0002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оценки результатов обучения</w:t>
      </w:r>
      <w:r w:rsidRPr="0002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занятиях по электротехнике</w:t>
      </w:r>
    </w:p>
    <w:p w:rsidR="00847A3A" w:rsidRDefault="00847A3A" w:rsidP="000218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A3A" w:rsidRPr="00847A3A" w:rsidRDefault="00847A3A" w:rsidP="00847A3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3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Светлана Анатольевна,</w:t>
      </w:r>
    </w:p>
    <w:p w:rsidR="00847A3A" w:rsidRPr="00847A3A" w:rsidRDefault="00847A3A" w:rsidP="00847A3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proofErr w:type="gramEnd"/>
      <w:r w:rsidRPr="0084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электротехники</w:t>
      </w:r>
    </w:p>
    <w:p w:rsidR="00847A3A" w:rsidRPr="00847A3A" w:rsidRDefault="00847A3A" w:rsidP="00847A3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3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НСО «Новосибирский автотранспортный колледж»</w:t>
      </w:r>
    </w:p>
    <w:p w:rsidR="0058674A" w:rsidRPr="0002188A" w:rsidRDefault="0058674A" w:rsidP="000218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4EA5" w:rsidRPr="0002188A" w:rsidRDefault="00BE3B46" w:rsidP="000218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8A">
        <w:rPr>
          <w:rFonts w:ascii="Times New Roman" w:hAnsi="Times New Roman" w:cs="Times New Roman"/>
          <w:sz w:val="24"/>
          <w:szCs w:val="24"/>
        </w:rPr>
        <w:t xml:space="preserve">Изменения в системе образования, имеющие место в последние годы, актуализировали переход от </w:t>
      </w:r>
      <w:proofErr w:type="spellStart"/>
      <w:r w:rsidRPr="0002188A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02188A">
        <w:rPr>
          <w:rFonts w:ascii="Times New Roman" w:hAnsi="Times New Roman" w:cs="Times New Roman"/>
          <w:sz w:val="24"/>
          <w:szCs w:val="24"/>
        </w:rPr>
        <w:t xml:space="preserve"> модели подготовки специалистов к </w:t>
      </w:r>
      <w:proofErr w:type="spellStart"/>
      <w:r w:rsidRPr="0002188A">
        <w:rPr>
          <w:rFonts w:ascii="Times New Roman" w:hAnsi="Times New Roman" w:cs="Times New Roman"/>
          <w:sz w:val="24"/>
          <w:szCs w:val="24"/>
        </w:rPr>
        <w:t>компетентнос</w:t>
      </w:r>
      <w:bookmarkStart w:id="0" w:name="_GoBack"/>
      <w:bookmarkEnd w:id="0"/>
      <w:r w:rsidRPr="0002188A">
        <w:rPr>
          <w:rFonts w:ascii="Times New Roman" w:hAnsi="Times New Roman" w:cs="Times New Roman"/>
          <w:sz w:val="24"/>
          <w:szCs w:val="24"/>
        </w:rPr>
        <w:t>тной</w:t>
      </w:r>
      <w:proofErr w:type="spellEnd"/>
      <w:r w:rsidRPr="0002188A">
        <w:rPr>
          <w:rFonts w:ascii="Times New Roman" w:hAnsi="Times New Roman" w:cs="Times New Roman"/>
          <w:sz w:val="24"/>
          <w:szCs w:val="24"/>
        </w:rPr>
        <w:t xml:space="preserve">. </w:t>
      </w:r>
      <w:r w:rsidR="00EB03A0" w:rsidRPr="0002188A">
        <w:rPr>
          <w:rFonts w:ascii="Times New Roman" w:hAnsi="Times New Roman" w:cs="Times New Roman"/>
          <w:sz w:val="24"/>
          <w:szCs w:val="24"/>
        </w:rPr>
        <w:t xml:space="preserve">Образовательный процесс в профессиональных образовательных организациях направлен не на освоение </w:t>
      </w:r>
      <w:r w:rsidR="00EB03A0" w:rsidRPr="0002188A">
        <w:rPr>
          <w:rFonts w:ascii="Times New Roman" w:hAnsi="Times New Roman" w:cs="Times New Roman"/>
          <w:i/>
          <w:sz w:val="24"/>
          <w:szCs w:val="24"/>
        </w:rPr>
        <w:t>отдельных</w:t>
      </w:r>
      <w:r w:rsidR="00EB03A0" w:rsidRPr="0002188A">
        <w:rPr>
          <w:rFonts w:ascii="Times New Roman" w:hAnsi="Times New Roman" w:cs="Times New Roman"/>
          <w:sz w:val="24"/>
          <w:szCs w:val="24"/>
        </w:rPr>
        <w:t xml:space="preserve"> знаний, умений, навыков, а на становление общих и профессиональных компетенций как </w:t>
      </w:r>
      <w:r w:rsidR="00EB03A0" w:rsidRPr="0002188A">
        <w:rPr>
          <w:rFonts w:ascii="Times New Roman" w:hAnsi="Times New Roman" w:cs="Times New Roman"/>
          <w:i/>
          <w:sz w:val="24"/>
          <w:szCs w:val="24"/>
        </w:rPr>
        <w:t>совокупности</w:t>
      </w:r>
      <w:r w:rsidR="00EB03A0" w:rsidRPr="0002188A">
        <w:rPr>
          <w:rFonts w:ascii="Times New Roman" w:hAnsi="Times New Roman" w:cs="Times New Roman"/>
          <w:sz w:val="24"/>
          <w:szCs w:val="24"/>
        </w:rPr>
        <w:t xml:space="preserve"> знаний, умений, навыков, социальных и профессионально важных качеств личности, необходимых в профессиональной деятельности будущего выпускника, а также на формирование </w:t>
      </w:r>
      <w:proofErr w:type="spellStart"/>
      <w:r w:rsidR="00EB03A0" w:rsidRPr="0002188A">
        <w:rPr>
          <w:rFonts w:ascii="Times New Roman" w:hAnsi="Times New Roman" w:cs="Times New Roman"/>
          <w:sz w:val="24"/>
          <w:szCs w:val="24"/>
        </w:rPr>
        <w:t>самореализующейся</w:t>
      </w:r>
      <w:proofErr w:type="spellEnd"/>
      <w:r w:rsidR="00EB03A0" w:rsidRPr="0002188A">
        <w:rPr>
          <w:rFonts w:ascii="Times New Roman" w:hAnsi="Times New Roman" w:cs="Times New Roman"/>
          <w:sz w:val="24"/>
          <w:szCs w:val="24"/>
        </w:rPr>
        <w:t xml:space="preserve"> творческой личности [1, с.</w:t>
      </w:r>
      <w:r w:rsidR="00F6128F">
        <w:rPr>
          <w:rFonts w:ascii="Times New Roman" w:hAnsi="Times New Roman" w:cs="Times New Roman"/>
          <w:sz w:val="24"/>
          <w:szCs w:val="24"/>
        </w:rPr>
        <w:t xml:space="preserve"> </w:t>
      </w:r>
      <w:r w:rsidR="00EB03A0" w:rsidRPr="0002188A">
        <w:rPr>
          <w:rFonts w:ascii="Times New Roman" w:hAnsi="Times New Roman" w:cs="Times New Roman"/>
          <w:sz w:val="24"/>
          <w:szCs w:val="24"/>
        </w:rPr>
        <w:t xml:space="preserve">122]. </w:t>
      </w:r>
    </w:p>
    <w:p w:rsidR="0073045B" w:rsidRPr="0002188A" w:rsidRDefault="00C54EA5" w:rsidP="000218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88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2188A">
        <w:rPr>
          <w:rFonts w:ascii="Times New Roman" w:hAnsi="Times New Roman" w:cs="Times New Roman"/>
          <w:sz w:val="24"/>
          <w:szCs w:val="24"/>
        </w:rPr>
        <w:t xml:space="preserve"> подход находит свое отражение в ФГОС специальностей 23.02.03 Техническое обслуживание и ремонт автомобильного транспорта</w:t>
      </w:r>
      <w:r w:rsidR="000A263D" w:rsidRPr="0002188A">
        <w:rPr>
          <w:rFonts w:ascii="Times New Roman" w:hAnsi="Times New Roman" w:cs="Times New Roman"/>
          <w:sz w:val="24"/>
          <w:szCs w:val="24"/>
        </w:rPr>
        <w:t>,</w:t>
      </w:r>
      <w:r w:rsidRPr="0002188A">
        <w:rPr>
          <w:rFonts w:ascii="Times New Roman" w:hAnsi="Times New Roman" w:cs="Times New Roman"/>
          <w:sz w:val="24"/>
          <w:szCs w:val="24"/>
        </w:rPr>
        <w:t xml:space="preserve"> 23.02.01 Организация перевозок и управление на транспорте (по видам)</w:t>
      </w:r>
      <w:r w:rsidR="000A263D" w:rsidRPr="0002188A">
        <w:rPr>
          <w:rFonts w:ascii="Times New Roman" w:hAnsi="Times New Roman" w:cs="Times New Roman"/>
          <w:sz w:val="24"/>
          <w:szCs w:val="24"/>
        </w:rPr>
        <w:t>, 23.02.05 Эксплуатация транспортного электрооборудования и автоматики (по видам транспорта, за исключением водного), определяя формирование общих и профессиональных компетенций, охватывая предметную, ценностную, социальную, организационную</w:t>
      </w:r>
      <w:r w:rsidR="00FC45B6" w:rsidRPr="0002188A">
        <w:rPr>
          <w:rFonts w:ascii="Times New Roman" w:hAnsi="Times New Roman" w:cs="Times New Roman"/>
          <w:sz w:val="24"/>
          <w:szCs w:val="24"/>
        </w:rPr>
        <w:t>,</w:t>
      </w:r>
      <w:r w:rsidR="000A263D" w:rsidRPr="0002188A">
        <w:rPr>
          <w:rFonts w:ascii="Times New Roman" w:hAnsi="Times New Roman" w:cs="Times New Roman"/>
          <w:sz w:val="24"/>
          <w:szCs w:val="24"/>
        </w:rPr>
        <w:t xml:space="preserve"> рефлексивную </w:t>
      </w:r>
      <w:r w:rsidR="00FC45B6" w:rsidRPr="0002188A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0A263D" w:rsidRPr="0002188A">
        <w:rPr>
          <w:rFonts w:ascii="Times New Roman" w:hAnsi="Times New Roman" w:cs="Times New Roman"/>
          <w:sz w:val="24"/>
          <w:szCs w:val="24"/>
        </w:rPr>
        <w:t>сферы деятельности</w:t>
      </w:r>
      <w:r w:rsidR="00FC45B6" w:rsidRPr="0002188A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0A263D" w:rsidRPr="0002188A">
        <w:rPr>
          <w:rFonts w:ascii="Times New Roman" w:hAnsi="Times New Roman" w:cs="Times New Roman"/>
          <w:sz w:val="24"/>
          <w:szCs w:val="24"/>
        </w:rPr>
        <w:t>.</w:t>
      </w:r>
    </w:p>
    <w:p w:rsidR="00FC45B6" w:rsidRPr="0002188A" w:rsidRDefault="000A263D" w:rsidP="000218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8A">
        <w:rPr>
          <w:rFonts w:ascii="Times New Roman" w:hAnsi="Times New Roman" w:cs="Times New Roman"/>
          <w:sz w:val="24"/>
          <w:szCs w:val="24"/>
        </w:rPr>
        <w:t>Так, предметная сфера представлена профессиональными компетенциями, например</w:t>
      </w:r>
      <w:r w:rsidR="00086EFA" w:rsidRPr="0002188A">
        <w:rPr>
          <w:rFonts w:ascii="Times New Roman" w:hAnsi="Times New Roman" w:cs="Times New Roman"/>
          <w:sz w:val="24"/>
          <w:szCs w:val="24"/>
        </w:rPr>
        <w:t>,</w:t>
      </w:r>
      <w:r w:rsidRPr="0002188A">
        <w:rPr>
          <w:rFonts w:ascii="Times New Roman" w:hAnsi="Times New Roman" w:cs="Times New Roman"/>
          <w:sz w:val="24"/>
          <w:szCs w:val="24"/>
        </w:rPr>
        <w:t xml:space="preserve"> ПК 1.1. Организовывать и проводить работы по техническому обслуживанию и ремонту автотранспорта, ПК 1.2. Осуществлять технический контроль при хранении, эксплуатации, техническом обслуживании и ремонте автотранспорта, ПК 1.3. Разрабатывать технологические процессы ремонта узлов и деталей. </w:t>
      </w:r>
      <w:r w:rsidR="00086EFA" w:rsidRPr="0002188A">
        <w:rPr>
          <w:rFonts w:ascii="Times New Roman" w:hAnsi="Times New Roman" w:cs="Times New Roman"/>
          <w:sz w:val="24"/>
          <w:szCs w:val="24"/>
        </w:rPr>
        <w:t xml:space="preserve">Ценностная – общими компетенциями: ОК 1. Понимать сущность и социальную значимость своей будущей профессии, проявлять к ней устойчивый интерес. Социальная – общие, например, </w:t>
      </w:r>
      <w:r w:rsidR="000D623B" w:rsidRPr="0002188A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потребителями,</w:t>
      </w:r>
      <w:r w:rsidR="000D623B" w:rsidRPr="0002188A">
        <w:rPr>
          <w:rFonts w:ascii="Calibri" w:hAnsi="Calibri" w:cs="Calibri"/>
          <w:sz w:val="24"/>
          <w:szCs w:val="24"/>
        </w:rPr>
        <w:t xml:space="preserve"> </w:t>
      </w:r>
      <w:r w:rsidR="000D623B" w:rsidRPr="0002188A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 Организационная – профессиональные компетенции ПК 2.1. Планировать и организовывать работы по техническому обслуживанию и ремонту автотранспорта, ПК 2.2. Контролировать и оценивать качество работы исполнителей работ, ПК 2.3. Организовывать безопасное ведение работ при техническом обслуживании и ремонте автотранспорта и общие ОК 2. Организовывать собственную деятельность, выбирать типовые методы и способы выполнения профессиональных задач, оценива</w:t>
      </w:r>
      <w:r w:rsidR="00FC45B6" w:rsidRPr="0002188A">
        <w:rPr>
          <w:rFonts w:ascii="Times New Roman" w:hAnsi="Times New Roman" w:cs="Times New Roman"/>
          <w:sz w:val="24"/>
          <w:szCs w:val="24"/>
        </w:rPr>
        <w:t>ть их эффективность и качество. Рефлексивная сфера деятельности отражена в формировании общих компетенций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9. Ориентироваться в условиях частой смены технологий в профессиональной деятельности.</w:t>
      </w:r>
    </w:p>
    <w:p w:rsidR="007A5AC3" w:rsidRPr="0002188A" w:rsidRDefault="007A5AC3" w:rsidP="000218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8A">
        <w:rPr>
          <w:rFonts w:ascii="Times New Roman" w:hAnsi="Times New Roman" w:cs="Times New Roman"/>
          <w:sz w:val="24"/>
          <w:szCs w:val="24"/>
        </w:rPr>
        <w:t>Ч</w:t>
      </w:r>
      <w:r w:rsidR="00FC45B6" w:rsidRPr="0002188A">
        <w:rPr>
          <w:rFonts w:ascii="Times New Roman" w:hAnsi="Times New Roman" w:cs="Times New Roman"/>
          <w:sz w:val="24"/>
          <w:szCs w:val="24"/>
        </w:rPr>
        <w:t>тобы сформировать компетенции</w:t>
      </w:r>
      <w:r w:rsidRPr="0002188A">
        <w:rPr>
          <w:rFonts w:ascii="Times New Roman" w:hAnsi="Times New Roman" w:cs="Times New Roman"/>
          <w:sz w:val="24"/>
          <w:szCs w:val="24"/>
        </w:rPr>
        <w:t>,</w:t>
      </w:r>
      <w:r w:rsidR="00FC45B6" w:rsidRPr="0002188A">
        <w:rPr>
          <w:rFonts w:ascii="Times New Roman" w:hAnsi="Times New Roman" w:cs="Times New Roman"/>
          <w:sz w:val="24"/>
          <w:szCs w:val="24"/>
        </w:rPr>
        <w:t xml:space="preserve"> образовательный процесс (начиная с содержательной составляющей и заканчивая системой оценки) должен быть изменен</w:t>
      </w:r>
      <w:r w:rsidRPr="0002188A">
        <w:rPr>
          <w:rFonts w:ascii="Times New Roman" w:hAnsi="Times New Roman" w:cs="Times New Roman"/>
          <w:sz w:val="24"/>
          <w:szCs w:val="24"/>
        </w:rPr>
        <w:t>: «от предметно разбросанной структуры к системной основе овладения деятельностью, в том числе отвечающей личным интересам обучающегося; позиция обучающегося с репродуктивной, пассивной должна смениться на активную и ответственную; в организации контроля знаний нужно перейти к новым средствам и методам регулярного оценивания персональных результатов обучения» [2, с. 23]. Таким образом, образовательный процесс строится на следующих принципах:</w:t>
      </w:r>
    </w:p>
    <w:p w:rsidR="007A5AC3" w:rsidRPr="0002188A" w:rsidRDefault="0002188A" w:rsidP="0002188A">
      <w:pPr>
        <w:pStyle w:val="a5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88A">
        <w:rPr>
          <w:rFonts w:ascii="Times New Roman" w:hAnsi="Times New Roman" w:cs="Times New Roman"/>
          <w:sz w:val="24"/>
          <w:szCs w:val="24"/>
        </w:rPr>
        <w:t>с</w:t>
      </w:r>
      <w:r w:rsidR="007A5AC3" w:rsidRPr="0002188A">
        <w:rPr>
          <w:rFonts w:ascii="Times New Roman" w:hAnsi="Times New Roman" w:cs="Times New Roman"/>
          <w:sz w:val="24"/>
          <w:szCs w:val="24"/>
        </w:rPr>
        <w:t>истемно</w:t>
      </w:r>
      <w:proofErr w:type="gramEnd"/>
      <w:r w:rsidR="007A5AC3" w:rsidRPr="000218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A5AC3" w:rsidRPr="0002188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7A5AC3" w:rsidRPr="0002188A">
        <w:rPr>
          <w:rFonts w:ascii="Times New Roman" w:hAnsi="Times New Roman" w:cs="Times New Roman"/>
          <w:sz w:val="24"/>
          <w:szCs w:val="24"/>
        </w:rPr>
        <w:t xml:space="preserve"> подход</w:t>
      </w:r>
      <w:r w:rsidRPr="0002188A">
        <w:rPr>
          <w:rFonts w:ascii="Times New Roman" w:hAnsi="Times New Roman" w:cs="Times New Roman"/>
          <w:sz w:val="24"/>
          <w:szCs w:val="24"/>
        </w:rPr>
        <w:t>;</w:t>
      </w:r>
    </w:p>
    <w:p w:rsidR="007A5AC3" w:rsidRPr="0002188A" w:rsidRDefault="0002188A" w:rsidP="0002188A">
      <w:pPr>
        <w:pStyle w:val="a5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88A">
        <w:rPr>
          <w:rFonts w:ascii="Times New Roman" w:hAnsi="Times New Roman" w:cs="Times New Roman"/>
          <w:sz w:val="24"/>
          <w:szCs w:val="24"/>
        </w:rPr>
        <w:t>п</w:t>
      </w:r>
      <w:r w:rsidR="007A5AC3" w:rsidRPr="0002188A">
        <w:rPr>
          <w:rFonts w:ascii="Times New Roman" w:hAnsi="Times New Roman" w:cs="Times New Roman"/>
          <w:sz w:val="24"/>
          <w:szCs w:val="24"/>
        </w:rPr>
        <w:t>родуктивная</w:t>
      </w:r>
      <w:proofErr w:type="gramEnd"/>
      <w:r w:rsidR="007A5AC3" w:rsidRPr="0002188A">
        <w:rPr>
          <w:rFonts w:ascii="Times New Roman" w:hAnsi="Times New Roman" w:cs="Times New Roman"/>
          <w:sz w:val="24"/>
          <w:szCs w:val="24"/>
        </w:rPr>
        <w:t>, субъектная, активная позиция студента</w:t>
      </w:r>
      <w:r w:rsidRPr="0002188A">
        <w:rPr>
          <w:rFonts w:ascii="Times New Roman" w:hAnsi="Times New Roman" w:cs="Times New Roman"/>
          <w:sz w:val="24"/>
          <w:szCs w:val="24"/>
        </w:rPr>
        <w:t>;</w:t>
      </w:r>
    </w:p>
    <w:p w:rsidR="007A5AC3" w:rsidRPr="0002188A" w:rsidRDefault="0002188A" w:rsidP="0002188A">
      <w:pPr>
        <w:pStyle w:val="a5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88A">
        <w:rPr>
          <w:rFonts w:ascii="Times New Roman" w:hAnsi="Times New Roman" w:cs="Times New Roman"/>
          <w:sz w:val="24"/>
          <w:szCs w:val="24"/>
        </w:rPr>
        <w:t>и</w:t>
      </w:r>
      <w:r w:rsidR="007A5AC3" w:rsidRPr="0002188A">
        <w:rPr>
          <w:rFonts w:ascii="Times New Roman" w:hAnsi="Times New Roman" w:cs="Times New Roman"/>
          <w:sz w:val="24"/>
          <w:szCs w:val="24"/>
        </w:rPr>
        <w:t>спользование</w:t>
      </w:r>
      <w:proofErr w:type="gramEnd"/>
      <w:r w:rsidR="007A5AC3" w:rsidRPr="0002188A">
        <w:rPr>
          <w:rFonts w:ascii="Times New Roman" w:hAnsi="Times New Roman" w:cs="Times New Roman"/>
          <w:sz w:val="24"/>
          <w:szCs w:val="24"/>
        </w:rPr>
        <w:t xml:space="preserve"> новых методов оценивания с целью проведения регулярного мониторинга учебного процесса. </w:t>
      </w:r>
    </w:p>
    <w:p w:rsidR="0002188A" w:rsidRPr="0002188A" w:rsidRDefault="0002188A" w:rsidP="000218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8A">
        <w:rPr>
          <w:rFonts w:ascii="Times New Roman" w:hAnsi="Times New Roman" w:cs="Times New Roman"/>
          <w:sz w:val="24"/>
          <w:szCs w:val="24"/>
        </w:rPr>
        <w:t>В 2013-2014 учебном году мной как преподавателем Новосибирского автотранспортного колледжа на занятиях по электротехнике и электронике в качестве эксперимента была разработана и активно внедрена модульно – рейтинговая (</w:t>
      </w:r>
      <w:proofErr w:type="spellStart"/>
      <w:r w:rsidRPr="0002188A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02188A">
        <w:rPr>
          <w:rFonts w:ascii="Times New Roman" w:hAnsi="Times New Roman" w:cs="Times New Roman"/>
          <w:sz w:val="24"/>
          <w:szCs w:val="24"/>
        </w:rPr>
        <w:t xml:space="preserve">-рейтинговая) система </w:t>
      </w:r>
      <w:r w:rsidRPr="0002188A">
        <w:rPr>
          <w:rFonts w:ascii="Times New Roman" w:hAnsi="Times New Roman" w:cs="Times New Roman"/>
          <w:sz w:val="24"/>
          <w:szCs w:val="24"/>
        </w:rPr>
        <w:lastRenderedPageBreak/>
        <w:t xml:space="preserve">оценки результатов оценки знаний обучающихся, которая применяется уже 6-й год. На протяжении всего учебного года обучающиеся </w:t>
      </w:r>
      <w:r w:rsidR="00E26AA7">
        <w:rPr>
          <w:rFonts w:ascii="Times New Roman" w:hAnsi="Times New Roman" w:cs="Times New Roman"/>
          <w:sz w:val="24"/>
          <w:szCs w:val="24"/>
        </w:rPr>
        <w:t>проходят</w:t>
      </w:r>
      <w:r w:rsidRPr="0002188A">
        <w:rPr>
          <w:rFonts w:ascii="Times New Roman" w:hAnsi="Times New Roman" w:cs="Times New Roman"/>
          <w:sz w:val="24"/>
          <w:szCs w:val="24"/>
        </w:rPr>
        <w:t xml:space="preserve"> промежуточную и итоговую аттестации по данной системе. </w:t>
      </w:r>
      <w:proofErr w:type="spellStart"/>
      <w:r w:rsidRPr="0002188A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02188A">
        <w:rPr>
          <w:rFonts w:ascii="Times New Roman" w:hAnsi="Times New Roman" w:cs="Times New Roman"/>
          <w:sz w:val="24"/>
          <w:szCs w:val="24"/>
        </w:rPr>
        <w:t xml:space="preserve"> – рейтинговая система наиболее полно соответствует требованиям ФГОС к результатам освоения учебной дисциплины, так как на результат итоговой аттестации по учебной дисциплине влияет не только текущая успеваемость студента, но и его своевременное прохождение промежуточного контроля, активная учебная деятельность, а также участие во внеклассных мероприятиях.</w:t>
      </w:r>
    </w:p>
    <w:p w:rsidR="0002188A" w:rsidRPr="0002188A" w:rsidRDefault="0002188A" w:rsidP="000218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8A">
        <w:rPr>
          <w:rFonts w:ascii="Times New Roman" w:hAnsi="Times New Roman" w:cs="Times New Roman"/>
          <w:sz w:val="24"/>
          <w:szCs w:val="24"/>
        </w:rPr>
        <w:t>Всего по итогам обучения студент может набрать 100 баллов, из них 60 баллов за 2 семестра (по 30 за каждый) и 40 (30 за тест + 10 за участие во внеклассных мероприятиях) баллов за экзамен. Количество баллов за семестр может незначительно (например 29 и 31) меняться. Дополнительно даётся 10 баллов за участие во внеклассных мероприятиях (Таблица).</w:t>
      </w:r>
    </w:p>
    <w:p w:rsidR="0002188A" w:rsidRPr="0002188A" w:rsidRDefault="0002188A" w:rsidP="000218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88A">
        <w:rPr>
          <w:rFonts w:ascii="Times New Roman" w:hAnsi="Times New Roman" w:cs="Times New Roman"/>
          <w:sz w:val="24"/>
          <w:szCs w:val="24"/>
        </w:rPr>
        <w:t xml:space="preserve">Вся информация по мониторингу текущей и итоговой аттестации находится в электронном виде. Благодаря выводу информации на экран, </w:t>
      </w:r>
      <w:r w:rsidR="00E26AA7">
        <w:rPr>
          <w:rFonts w:ascii="Times New Roman" w:hAnsi="Times New Roman" w:cs="Times New Roman"/>
          <w:sz w:val="24"/>
          <w:szCs w:val="24"/>
        </w:rPr>
        <w:t xml:space="preserve">она </w:t>
      </w:r>
      <w:r w:rsidRPr="0002188A">
        <w:rPr>
          <w:rFonts w:ascii="Times New Roman" w:hAnsi="Times New Roman" w:cs="Times New Roman"/>
          <w:sz w:val="24"/>
          <w:szCs w:val="24"/>
        </w:rPr>
        <w:t xml:space="preserve">доступна каждому обучающемуся (его родителям) в любое время. Если </w:t>
      </w:r>
      <w:r w:rsidR="00E26AA7">
        <w:rPr>
          <w:rFonts w:ascii="Times New Roman" w:hAnsi="Times New Roman" w:cs="Times New Roman"/>
          <w:sz w:val="24"/>
          <w:szCs w:val="24"/>
        </w:rPr>
        <w:t>студент</w:t>
      </w:r>
      <w:r w:rsidRPr="0002188A">
        <w:rPr>
          <w:rFonts w:ascii="Times New Roman" w:hAnsi="Times New Roman" w:cs="Times New Roman"/>
          <w:sz w:val="24"/>
          <w:szCs w:val="24"/>
        </w:rPr>
        <w:t xml:space="preserve"> захочет повысить свой рейтинг, он всегда сможет это сделать, выполняя перечень работ промежуточного контроля или принимая участие во внеклассном мероприятии по своему выбору. Многие студенты активно включились в эксперимент и сумели повысить итоговый балл и, как следствие, итоговую оценку по дисциплине.</w:t>
      </w:r>
    </w:p>
    <w:p w:rsidR="0002188A" w:rsidRDefault="0002188A" w:rsidP="0002188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6EA8" w:rsidRPr="0002188A" w:rsidRDefault="0002188A" w:rsidP="000218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188A"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="00B166A8" w:rsidRPr="0002188A">
        <w:rPr>
          <w:rFonts w:ascii="Times New Roman" w:hAnsi="Times New Roman" w:cs="Times New Roman"/>
          <w:sz w:val="24"/>
          <w:szCs w:val="24"/>
        </w:rPr>
        <w:t>Моду</w:t>
      </w:r>
      <w:r w:rsidR="0071603B" w:rsidRPr="0002188A">
        <w:rPr>
          <w:rFonts w:ascii="Times New Roman" w:hAnsi="Times New Roman" w:cs="Times New Roman"/>
          <w:sz w:val="24"/>
          <w:szCs w:val="24"/>
        </w:rPr>
        <w:t>льно-рейтинговая система по учебной дисциплине «Электротехника и электроника»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118"/>
        <w:gridCol w:w="1418"/>
        <w:gridCol w:w="850"/>
        <w:gridCol w:w="3828"/>
      </w:tblGrid>
      <w:tr w:rsidR="0071603B" w:rsidRPr="0071603B" w:rsidTr="00847A3A">
        <w:trPr>
          <w:trHeight w:val="493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Вид учебной 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Макс. балл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Мини - контрольная работа №1 «Расчёт электрических цепей постоянного тока».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Одна задача на расчёт разветвлённой электрической цепи, содержащей пять элементов: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 балл-найдено эквивалентное сопротивление, ток и мощность;2 балла - рассчитаны токи во всех проводниках; 3 балла - составлен баланс мощности.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Технический диктант «Электромагнетизм»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5 вопросов по изученной теме.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Каждый правильный ответ оценивается в 0,4 балла.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Мини - контрольная работа №2 «Расчёт электрических цепей переменного однофазного тока».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 задачи на расчёт электрических цепей однофазного переменного тока,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с построением векторных диаграмм.  Каждая верно решенная задача оценивается в 1 балл.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Промежуточный тест «Переменный ток»(20 заданий)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Каждое правильно выполненное тестовое задание оценивается в 0,1 балла.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Мини - контрольная работа №3 «Соединение обмоток генератора и фаз потребителя звездой и треугольником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 задачи на расчёт электрических цепей трёхфазного переменного тока,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с построением векторных диаграмм.  Каждая верно решенная задача оценивается в 1 балл.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Промежуточный тест «Трёхфазный ток»(10 заданий)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Каждое правильно выполненное тестовое задание оценивается в 0,2 балла.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Семинар «Виды трансформаторов и их применение»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Защита презентации. 1 место-4 балла, 2 место -3 балла,3 место – 2 балла, участие – 1 балл.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Викторина «Электрические измерения и измерительные приборы»(15 вопросов)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Каждый правильный ответ оценивается в 0,2 балла.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Технический диктант «Электрические машины постоянного тока»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5 вопросов по изученной теме.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Каждый правильный ответ оценивается в 0,4 балла.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Семинар «Схемы автоматики».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Защита презентации. 1 место-4 балла, 2 место -3 балла,3 место – 2 балла, участие – 1 балл.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Промежуточный тест «Полупроводниковые приборы»(20 заданий)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Каждое правильно выполненное тестовое задание оценивается в 0,1 балла.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Технический диктант «Приборы с внешним и внутренним фотоэффектом. ФЭУ»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5 вопросов по изученной теме.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Каждый правильный ответ оценивается в 0,4 балла.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Викторина «Полупроводниковые приборы и устройства»(15 вопросов)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Каждый правильный ответ оценивается в 0,2 балла.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Контрольная работа (обязательная) №3 «Расчёт параметров и составление схем различных типов электронных выпрямителей»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Одно задание, представляющее собой описание сложной системы. Нужно выбрать три способа составления схемы выпрямителя и сравнить полученные результаты. Оценивается каждый из этапов выполнения работы: обоснованность выбора схемы, наличие описания ограничений, при которых справедливо количество диодов, необходимых для составления схемы, оценка точности расчетов и составленных схем, обоснование оптимального варианта выбора схемы.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Итоговая оценка за освоение модулей дисциплины по результатам тестирования(15 тестовых заданий и 5 теоретических вопросов)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Каждый правильный ответ тестового задания оценивается в 0,2 балла; 1 правильный ответ на теоретический вопрос -0,4 балла.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Лабораторный практикум, 15 лабораторных работ: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1.Исследование ЛЭП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2. Исследование неразветвлённой цепи однофазного переменного тока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3. Исследование разветвлённой цепи однофазного переменного тока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4. Исследование четырёхпроводной трёхфазной системы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5. Исследование однофазного трансформатора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6. Измерение электрических сопротивлений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7. Поверка индукционного счётчика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8. Исследование генератора постоянного тока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9. Исследование двигателя постоянного тока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10. Запуск асинхронного двигателя с помощью магнитного пускателя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11. Исследование кремниевого стабилитрона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12. Исследование биполярного транзистора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13. Исследование мостовой схемы выпрямления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 xml:space="preserve">14. Исследование УНЧ на транзисторах 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15. Исследование электронного осциллографа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3,7,8,9,11,1213,14,15,18,20,21,24,27,29 неделя</w:t>
            </w:r>
          </w:p>
          <w:p w:rsidR="004362A7" w:rsidRDefault="004362A7" w:rsidP="00847A3A">
            <w:pPr>
              <w:rPr>
                <w:rFonts w:ascii="Times New Roman" w:hAnsi="Times New Roman" w:cs="Times New Roman"/>
              </w:rPr>
            </w:pPr>
          </w:p>
          <w:p w:rsidR="004362A7" w:rsidRPr="0071603B" w:rsidRDefault="004362A7" w:rsidP="0084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 выполненная в срок лабораторная работа – 1</w:t>
            </w:r>
            <w:r w:rsidR="0002188A">
              <w:rPr>
                <w:rFonts w:ascii="Times New Roman" w:hAnsi="Times New Roman" w:cs="Times New Roman"/>
              </w:rPr>
              <w:t xml:space="preserve"> </w:t>
            </w:r>
            <w:r w:rsidRPr="0071603B">
              <w:rPr>
                <w:rFonts w:ascii="Times New Roman" w:hAnsi="Times New Roman" w:cs="Times New Roman"/>
              </w:rPr>
              <w:t>балл.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Сборка схемы, оформление отчёта, формулировка вывода.</w:t>
            </w: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Итого работа за 2 семестра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30 тестовых заданий.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 задача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30</w:t>
            </w: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</w:p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</w:p>
        </w:tc>
      </w:tr>
      <w:tr w:rsidR="0071603B" w:rsidRPr="0071603B" w:rsidTr="00847A3A">
        <w:trPr>
          <w:trHeight w:val="357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Итого по дисциплине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  <w:r w:rsidRPr="007160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03B" w:rsidRPr="0071603B" w:rsidRDefault="0071603B" w:rsidP="00847A3A">
            <w:pPr>
              <w:rPr>
                <w:rFonts w:ascii="Times New Roman" w:hAnsi="Times New Roman" w:cs="Times New Roman"/>
              </w:rPr>
            </w:pPr>
          </w:p>
        </w:tc>
      </w:tr>
    </w:tbl>
    <w:p w:rsidR="0002188A" w:rsidRDefault="00E26AA7" w:rsidP="00D0631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Положительным эффектом от внедрения </w:t>
      </w:r>
      <w:proofErr w:type="spellStart"/>
      <w:r>
        <w:rPr>
          <w:rFonts w:ascii="Times New Roman" w:hAnsi="Times New Roman" w:cs="Times New Roman"/>
        </w:rPr>
        <w:t>балльно</w:t>
      </w:r>
      <w:proofErr w:type="spellEnd"/>
      <w:r>
        <w:rPr>
          <w:rFonts w:ascii="Times New Roman" w:hAnsi="Times New Roman" w:cs="Times New Roman"/>
        </w:rPr>
        <w:t>-рейтинговой оцен</w:t>
      </w:r>
      <w:r w:rsidR="00D06317">
        <w:rPr>
          <w:rFonts w:ascii="Times New Roman" w:hAnsi="Times New Roman" w:cs="Times New Roman"/>
        </w:rPr>
        <w:t xml:space="preserve">ки результатов обучения явились, во-первых, мотивация студентов к постоянной, осознанной работе в течение учебного года, </w:t>
      </w:r>
      <w:r w:rsidR="00D06317">
        <w:rPr>
          <w:rFonts w:ascii="Times New Roman" w:hAnsi="Times New Roman" w:cs="Times New Roman"/>
        </w:rPr>
        <w:lastRenderedPageBreak/>
        <w:t>дисциплинированность; во-вторых, целенаправленность, организованность процесса обучения и осознанное планирование деятельности студента; в-третьих, объективность итоговой оценки; в-четвертых, возможность для обучающихся проявить себя не только на занятиях, но и внеклассных мероприятиях; в-пятых, создание психологически комфортной атмосферы, связанной с предсказуемостью итоговой отметки.</w:t>
      </w:r>
    </w:p>
    <w:p w:rsidR="00EB03A0" w:rsidRDefault="00EB03A0" w:rsidP="00D063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Библиографический список</w:t>
      </w:r>
    </w:p>
    <w:p w:rsidR="00EB03A0" w:rsidRDefault="00EB03A0" w:rsidP="004A55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Вербицкий А.А., Ларионова О.Г. Личностный и </w:t>
      </w:r>
      <w:proofErr w:type="spellStart"/>
      <w:r>
        <w:rPr>
          <w:rFonts w:ascii="Times New Roman" w:hAnsi="Times New Roman" w:cs="Times New Roman"/>
        </w:rPr>
        <w:t>компетентностный</w:t>
      </w:r>
      <w:proofErr w:type="spellEnd"/>
      <w:r>
        <w:rPr>
          <w:rFonts w:ascii="Times New Roman" w:hAnsi="Times New Roman" w:cs="Times New Roman"/>
        </w:rPr>
        <w:t xml:space="preserve"> подходы в образовании. М.: Логос, 2017. 336 с.</w:t>
      </w:r>
    </w:p>
    <w:p w:rsidR="007A5AC3" w:rsidRPr="007A5AC3" w:rsidRDefault="007A5AC3" w:rsidP="004A55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A5AC3">
        <w:rPr>
          <w:rFonts w:ascii="Times New Roman" w:hAnsi="Times New Roman" w:cs="Times New Roman"/>
        </w:rPr>
        <w:t>Шехонин</w:t>
      </w:r>
      <w:proofErr w:type="spellEnd"/>
      <w:r w:rsidRPr="007A5AC3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.А., </w:t>
      </w:r>
      <w:proofErr w:type="spellStart"/>
      <w:r>
        <w:rPr>
          <w:rFonts w:ascii="Times New Roman" w:hAnsi="Times New Roman" w:cs="Times New Roman"/>
        </w:rPr>
        <w:t>Тарлыков</w:t>
      </w:r>
      <w:proofErr w:type="spellEnd"/>
      <w:r>
        <w:rPr>
          <w:rFonts w:ascii="Times New Roman" w:hAnsi="Times New Roman" w:cs="Times New Roman"/>
        </w:rPr>
        <w:t xml:space="preserve"> В.А. </w:t>
      </w:r>
      <w:proofErr w:type="spellStart"/>
      <w:r>
        <w:rPr>
          <w:rFonts w:ascii="Times New Roman" w:hAnsi="Times New Roman" w:cs="Times New Roman"/>
        </w:rPr>
        <w:t>Б</w:t>
      </w:r>
      <w:r w:rsidRPr="007A5AC3">
        <w:rPr>
          <w:rFonts w:ascii="Times New Roman" w:hAnsi="Times New Roman" w:cs="Times New Roman"/>
        </w:rPr>
        <w:t>алльно</w:t>
      </w:r>
      <w:proofErr w:type="spellEnd"/>
      <w:r w:rsidRPr="007A5AC3">
        <w:rPr>
          <w:rFonts w:ascii="Times New Roman" w:hAnsi="Times New Roman" w:cs="Times New Roman"/>
        </w:rPr>
        <w:t>-рейтинговая система оценивания результатов обучения</w:t>
      </w:r>
      <w:r>
        <w:rPr>
          <w:rFonts w:ascii="Times New Roman" w:hAnsi="Times New Roman" w:cs="Times New Roman"/>
        </w:rPr>
        <w:t xml:space="preserve"> // Высшее образование в России, 2011, № 6. С. 22-29.</w:t>
      </w:r>
    </w:p>
    <w:sectPr w:rsidR="007A5AC3" w:rsidRPr="007A5AC3" w:rsidSect="000218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93E"/>
    <w:multiLevelType w:val="hybridMultilevel"/>
    <w:tmpl w:val="203ACEB4"/>
    <w:lvl w:ilvl="0" w:tplc="5692B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922E9F"/>
    <w:multiLevelType w:val="hybridMultilevel"/>
    <w:tmpl w:val="D422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4015"/>
    <w:multiLevelType w:val="hybridMultilevel"/>
    <w:tmpl w:val="DF069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D1"/>
    <w:rsid w:val="0002188A"/>
    <w:rsid w:val="00086EFA"/>
    <w:rsid w:val="000A263D"/>
    <w:rsid w:val="000D623B"/>
    <w:rsid w:val="00296EA8"/>
    <w:rsid w:val="002B7B9B"/>
    <w:rsid w:val="004147A6"/>
    <w:rsid w:val="004362A7"/>
    <w:rsid w:val="004A5542"/>
    <w:rsid w:val="004B1E99"/>
    <w:rsid w:val="0058674A"/>
    <w:rsid w:val="00651570"/>
    <w:rsid w:val="0071603B"/>
    <w:rsid w:val="0073045B"/>
    <w:rsid w:val="00734AAC"/>
    <w:rsid w:val="00747938"/>
    <w:rsid w:val="007A5AC3"/>
    <w:rsid w:val="007D61FA"/>
    <w:rsid w:val="007E7257"/>
    <w:rsid w:val="00847A3A"/>
    <w:rsid w:val="009805D1"/>
    <w:rsid w:val="00B166A8"/>
    <w:rsid w:val="00BE3B46"/>
    <w:rsid w:val="00C54EA5"/>
    <w:rsid w:val="00D06317"/>
    <w:rsid w:val="00E26AA7"/>
    <w:rsid w:val="00EB03A0"/>
    <w:rsid w:val="00F6128F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A9077-49EA-4C0E-8084-FEF926B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andrusevich</cp:lastModifiedBy>
  <cp:revision>3</cp:revision>
  <cp:lastPrinted>2016-09-28T08:58:00Z</cp:lastPrinted>
  <dcterms:created xsi:type="dcterms:W3CDTF">2019-01-23T05:24:00Z</dcterms:created>
  <dcterms:modified xsi:type="dcterms:W3CDTF">2019-01-23T09:01:00Z</dcterms:modified>
</cp:coreProperties>
</file>