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3C" w:rsidRDefault="0021433C" w:rsidP="00B567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67E0">
        <w:rPr>
          <w:rFonts w:ascii="Times New Roman" w:hAnsi="Times New Roman" w:cs="Times New Roman"/>
          <w:b/>
          <w:sz w:val="24"/>
          <w:szCs w:val="24"/>
        </w:rPr>
        <w:t>ДЕЛОВАЯ ИГРА КАК ФОРМА АКТИВНОГО ОБУЧЕНИЯ СТУДЕНТОВ СПЕЦИАЛЬНОСТИ ОРГАНИЗАЦИЯ ОБСЛУЖИВАНИЯ В ОБЩЕСТВЕННОМ ПИТАНИИ</w:t>
      </w:r>
    </w:p>
    <w:p w:rsidR="00B567E0" w:rsidRPr="00B567E0" w:rsidRDefault="00B567E0" w:rsidP="00B567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433C" w:rsidRPr="00B567E0" w:rsidRDefault="0021433C" w:rsidP="00B5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 xml:space="preserve">Татаркина Софья Сергеевна </w:t>
      </w:r>
    </w:p>
    <w:p w:rsidR="0021433C" w:rsidRPr="00B567E0" w:rsidRDefault="0021433C" w:rsidP="00B5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>Преподаватель первой категории</w:t>
      </w:r>
    </w:p>
    <w:p w:rsidR="00B567E0" w:rsidRDefault="0021433C" w:rsidP="00B5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>Г</w:t>
      </w:r>
      <w:r w:rsidR="00B567E0">
        <w:rPr>
          <w:rFonts w:ascii="Times New Roman" w:hAnsi="Times New Roman" w:cs="Times New Roman"/>
          <w:sz w:val="24"/>
          <w:szCs w:val="24"/>
        </w:rPr>
        <w:t xml:space="preserve">осударственное бюджетное профессиональное образовательное учреждение </w:t>
      </w:r>
      <w:r w:rsidRPr="00B5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3C" w:rsidRPr="00B567E0" w:rsidRDefault="0021433C" w:rsidP="00B5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>«Южно-Уральский многопрофильный колледж»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 xml:space="preserve">Сегодня, проблема выбора современных методик преподавания стоит перед каждым педагогом профессиональных средних учебных заведений. 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>Применение методики деловых игр в образовательном процессе для подготовки студентов специальности Организация обслуживания в общественном питании является важной частью всего учебного процесса.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 xml:space="preserve">Данная тема актуальна с нескольких сторон. С каждым годом в образовательные учреждения приходят все больше студентов, неспособных сосредотачивать свое внимание во время пары, они быстро утомляются, начинают отвлекаться, дезориентировать </w:t>
      </w:r>
      <w:proofErr w:type="spellStart"/>
      <w:r w:rsidRPr="00B567E0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B567E0">
        <w:rPr>
          <w:rFonts w:ascii="Times New Roman" w:hAnsi="Times New Roman" w:cs="Times New Roman"/>
          <w:sz w:val="24"/>
          <w:szCs w:val="24"/>
        </w:rPr>
        <w:t xml:space="preserve">, от чего страдает не только общая дисциплина в группе, но и учебный процесс. Поэтому, в первую очередь, данная техника позволяет сосредоточить внимание студентов на образовательном процессе, устремить их внимание на </w:t>
      </w:r>
      <w:proofErr w:type="gramStart"/>
      <w:r w:rsidRPr="00B567E0">
        <w:rPr>
          <w:rFonts w:ascii="Times New Roman" w:hAnsi="Times New Roman" w:cs="Times New Roman"/>
          <w:sz w:val="24"/>
          <w:szCs w:val="24"/>
        </w:rPr>
        <w:t>решение какой-либо ситуации</w:t>
      </w:r>
      <w:proofErr w:type="gramEnd"/>
      <w:r w:rsidRPr="00B567E0">
        <w:rPr>
          <w:rFonts w:ascii="Times New Roman" w:hAnsi="Times New Roman" w:cs="Times New Roman"/>
          <w:sz w:val="24"/>
          <w:szCs w:val="24"/>
        </w:rPr>
        <w:t xml:space="preserve"> в реальном времени. Во-вторых, стоит проблема разговорной речи студентов, многие из которых не могут грамотно сформулировать свою мысль. Поэтому деловая игра будет прекрасно вовлекать </w:t>
      </w:r>
      <w:proofErr w:type="gramStart"/>
      <w:r w:rsidRPr="00B567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67E0">
        <w:rPr>
          <w:rFonts w:ascii="Times New Roman" w:hAnsi="Times New Roman" w:cs="Times New Roman"/>
          <w:sz w:val="24"/>
          <w:szCs w:val="24"/>
        </w:rPr>
        <w:t xml:space="preserve"> в коммуникативную составляющую своей специальности и развивать устную речь. 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 xml:space="preserve">По мнению А.П. </w:t>
      </w:r>
      <w:proofErr w:type="spellStart"/>
      <w:r w:rsidRPr="00B567E0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B567E0">
        <w:rPr>
          <w:rFonts w:ascii="Times New Roman" w:hAnsi="Times New Roman" w:cs="Times New Roman"/>
          <w:sz w:val="24"/>
          <w:szCs w:val="24"/>
        </w:rPr>
        <w:t xml:space="preserve"> – доктора психологических наук – игра является особым методом обучения т.к. позволяет овладеть различными компонентами профессионального мастерства в ситуации, содержащей элементы условности. В процессе игры студенты овладевают искусством видеть мир глазами другого человека, принимать его позицию.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В профессиональном обучении деловые игры воспроизводят рабочие ситуации из реального мира трудоустроенных специалистов.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Началу деловой игры всегда предшествует постановка целей и задач. Студент должен понимать, для чего его необходима данная деятельность. Затем уточняются роли каждого студента в игровом процессе, обсуждаются правила, которые являются отражением фактического положения дел определенной области деятельности (в данном случае – это работа на предприятия питания). Завершающим этапов деловой игры является анализ проделанной работы и подведение итогов.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Во время применения деловых игр на уроках практического обучения и учебной практики методика состоит из следующих моментов: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Тема деловой игры;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Постановка целей;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Содержание;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Формирование игровых коллективов;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Распределение ролей;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Непосредственная деятельность;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Подведение итогов;</w:t>
      </w:r>
    </w:p>
    <w:p w:rsidR="0021433C" w:rsidRPr="00B567E0" w:rsidRDefault="0021433C" w:rsidP="00B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Рефлексия.</w:t>
      </w:r>
    </w:p>
    <w:p w:rsidR="0021433C" w:rsidRPr="00B567E0" w:rsidRDefault="0021433C" w:rsidP="00B56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При выборе метода обучения преподавателю нельзя руководствоваться спонтанными желаниями. Выбор методики обучения обуславливается постановкой цели и задач, которые будут решаться на уроке. Педагогу следует делать целенаправленный выбор в пользу наилучшего игрового метода, который в полной мере раскроет образовательный процесс. 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На уроках мною применяются различные разновидности деловых игр:</w:t>
      </w:r>
    </w:p>
    <w:p w:rsidR="0021433C" w:rsidRPr="00B567E0" w:rsidRDefault="0021433C" w:rsidP="00B567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Имитационная игра.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Данная разновидность раскрывает деятельность организации питания. На уроках студенты имитируют обслуживание посетителей в ресторане в режиме реального времени. Во время прохождения всех этапов игры необходимо помнить о строгих правилах последовательности обслуживания: встреча, предложение меню, принятие заказа, оформление заказа, подача блюд, промежуточное обслуживание, расчет с гостями, прощание. В студенческой группе выделяется менеджер, который проводит инструктаж у официантов, выдается задания и напутствия перед обслуживанием. Те студенты, которым не досталась роль ни менеджера, ни официанта выступают в роли посетителей. В конце обслуживания преподаватель вместе со студентами обсуждают весь период обслуживания, делают выводы и дают советы.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Игра помогает вырабатывать выполнение конкретных специфических ситуаций, происходит моделирование рабочего процесса.</w:t>
      </w:r>
    </w:p>
    <w:p w:rsidR="0021433C" w:rsidRPr="00B567E0" w:rsidRDefault="0021433C" w:rsidP="00B567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ролей. 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В данной игре студенты отрабатывают тактику поведения, действий, выполняют функции и обязанности конкретного лица. </w:t>
      </w:r>
      <w:proofErr w:type="gramStart"/>
      <w:r w:rsidRPr="00B567E0">
        <w:rPr>
          <w:rFonts w:ascii="Times New Roman" w:hAnsi="Times New Roman" w:cs="Times New Roman"/>
          <w:color w:val="000000"/>
          <w:sz w:val="24"/>
          <w:szCs w:val="24"/>
        </w:rPr>
        <w:t>Данный метод включается в имитационный с добавлением элементов критического мышления путем добавления конфликтных ситуаций в процесс обслуживания.</w:t>
      </w:r>
      <w:proofErr w:type="gramEnd"/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недовольный гость, долгое ожидание блюда, волос в салате, выпивший посетитель, холодный кофе, шумная компания и т.д. Данные ситуации позволяют студентам быстро собраться и начать думать в критической ситуации, применяя весь запас коммуникативных способной, уверенности в себе, проявляя не конфликтность при решении подобных нестандартных ситуаций.    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Студенты, не получившие роли, наблюдают за ходом игры и участвуют в ее заключительном анализе.</w:t>
      </w:r>
    </w:p>
    <w:p w:rsidR="0021433C" w:rsidRPr="00B567E0" w:rsidRDefault="0021433C" w:rsidP="00B567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Метод инсценировки. «Деловой театр»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Разыгрывает какая-либо ситуация, поведение человека в этой обстановке. Студент должен вжиться в определенный образ и поняв его действия, оценить обстановку и найти правильную линию поведения. 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перед студентом стоит задача: забронировать столик для гостей по телефону. В первую очередь студент составляет ряд вопросов, необходимых для выяснения необходимой информации: приветствие, на какой день, час требуется столик, сколько будет персон, фамилия гостя, который звонит, время прибытия, контактный номер, пожелания. Также необходимо всегда быть готовым к возможным вопросам: какое у вас меню, блюда какой кухни вы подаете, можно ли прийти с ребенком, есть ли парковка, есть ли кондиционер и т.д. 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Второй пример, студент выполняет обязанности менеджера ресторана и перед ним стоит задача: принять заказ на банкетное мероприятие. Направив все свои теоретические знания на выполнения задачи, студент последовательно принимает заказ: дата торжества, количество участников, повод для устройства банкета, место проведения, время начала и окончания мероприятия, составление меню, расстановка столов, подача аперитива, оформление зала. Также студенту необходимо о заполнении соответствующей документации по итогам принятия заказа.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Студенты, не получившие роли, наблюдают за ходом игры и участвуют в ее заключительном анализе.</w:t>
      </w:r>
    </w:p>
    <w:p w:rsidR="0021433C" w:rsidRPr="00B567E0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>Таким образом, правильный выбор модификации деловой игры позволяет конструировать увлекательное учебное занятие, которое дает возможность, достичь поставленные дидактические цели, выполнять воспитательные и развивающие задачи, а также сформировывать необходимые знания и умения у студентов.</w:t>
      </w:r>
    </w:p>
    <w:p w:rsidR="0021433C" w:rsidRDefault="0021433C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E0" w:rsidRDefault="00B567E0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E0" w:rsidRDefault="00B567E0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E0" w:rsidRDefault="00B567E0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E0" w:rsidRPr="00B567E0" w:rsidRDefault="00B567E0" w:rsidP="00B56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33C" w:rsidRPr="00B567E0" w:rsidRDefault="0021433C" w:rsidP="00B567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Список литературы</w:t>
      </w:r>
    </w:p>
    <w:p w:rsidR="0021433C" w:rsidRPr="00B567E0" w:rsidRDefault="0021433C" w:rsidP="00B567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потенциал: материалы </w:t>
      </w:r>
      <w:r w:rsidRPr="00B567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ярмарки образовательных технологий., гл</w:t>
      </w:r>
      <w:proofErr w:type="gramStart"/>
      <w:r w:rsidRPr="00B567E0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ед. М.П. Нечаев. – Часть </w:t>
      </w:r>
      <w:r w:rsidRPr="00B567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 – Чебоксары: Экспертно-методический центр, </w:t>
      </w:r>
      <w:r w:rsidR="003606F4"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B567E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606F4" w:rsidRPr="00B567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 – 760 с.</w:t>
      </w:r>
    </w:p>
    <w:p w:rsidR="00E7034B" w:rsidRPr="00B567E0" w:rsidRDefault="003606F4" w:rsidP="00B567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Симоненко В.Д.  Общая и профессиональная педагогика. – М.: </w:t>
      </w:r>
      <w:proofErr w:type="spellStart"/>
      <w:r w:rsidRPr="00B567E0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B567E0">
        <w:rPr>
          <w:rFonts w:ascii="Times New Roman" w:hAnsi="Times New Roman" w:cs="Times New Roman"/>
          <w:color w:val="000000"/>
          <w:sz w:val="24"/>
          <w:szCs w:val="24"/>
        </w:rPr>
        <w:t xml:space="preserve"> – Граф, – 2005. – 368 с.</w:t>
      </w:r>
    </w:p>
    <w:sectPr w:rsidR="00E7034B" w:rsidRPr="00B567E0" w:rsidSect="00B567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5255"/>
    <w:multiLevelType w:val="hybridMultilevel"/>
    <w:tmpl w:val="AF201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6F206A"/>
    <w:multiLevelType w:val="hybridMultilevel"/>
    <w:tmpl w:val="9ABA3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895588"/>
    <w:multiLevelType w:val="hybridMultilevel"/>
    <w:tmpl w:val="442A6270"/>
    <w:lvl w:ilvl="0" w:tplc="FD043E0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79521CA9"/>
    <w:multiLevelType w:val="hybridMultilevel"/>
    <w:tmpl w:val="5318209C"/>
    <w:lvl w:ilvl="0" w:tplc="FD043E0E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33C"/>
    <w:rsid w:val="00141A74"/>
    <w:rsid w:val="0021433C"/>
    <w:rsid w:val="00341B7D"/>
    <w:rsid w:val="003606F4"/>
    <w:rsid w:val="00763176"/>
    <w:rsid w:val="009849BD"/>
    <w:rsid w:val="00B567E0"/>
    <w:rsid w:val="00E32BA8"/>
    <w:rsid w:val="00E7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3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annotation reference"/>
    <w:basedOn w:val="a0"/>
    <w:uiPriority w:val="99"/>
    <w:semiHidden/>
    <w:unhideWhenUsed/>
    <w:rsid w:val="002143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433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433C"/>
    <w:rPr>
      <w:rFonts w:eastAsiaTheme="minorHAnsi"/>
      <w:sz w:val="20"/>
      <w:szCs w:val="20"/>
      <w:lang w:eastAsia="en-US"/>
    </w:rPr>
  </w:style>
  <w:style w:type="character" w:styleId="a7">
    <w:name w:val="Intense Emphasis"/>
    <w:basedOn w:val="a0"/>
    <w:uiPriority w:val="21"/>
    <w:qFormat/>
    <w:rsid w:val="0021433C"/>
    <w:rPr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21433C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2143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21433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5</cp:revision>
  <dcterms:created xsi:type="dcterms:W3CDTF">2018-05-03T09:13:00Z</dcterms:created>
  <dcterms:modified xsi:type="dcterms:W3CDTF">2018-05-17T07:09:00Z</dcterms:modified>
</cp:coreProperties>
</file>