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94" w:rsidRPr="006678A7" w:rsidRDefault="007E6F94" w:rsidP="007E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РЕМОНТ ЭЛЕКТРООБОРУДОВАНИЯ ПОВОРОТНОГО СТОЛА ДЛЯ ТРАНСПОРТИРОВКИ ЗАГОТОВОК, ЭСПЦ АО «ОЭМК»</w:t>
      </w:r>
    </w:p>
    <w:p w:rsidR="007E6F94" w:rsidRPr="006678A7" w:rsidRDefault="007E6F94" w:rsidP="007E6F94">
      <w:pPr>
        <w:tabs>
          <w:tab w:val="center" w:pos="4677"/>
          <w:tab w:val="right" w:pos="9498"/>
          <w:tab w:val="left" w:pos="9638"/>
        </w:tabs>
        <w:spacing w:after="0" w:line="240" w:lineRule="auto"/>
        <w:contextualSpacing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proofErr w:type="spellStart"/>
      <w:r w:rsidRPr="006678A7">
        <w:rPr>
          <w:rFonts w:ascii="Times New Roman" w:eastAsia="Malgun Gothic" w:hAnsi="Times New Roman" w:cs="Times New Roman"/>
          <w:b/>
          <w:sz w:val="24"/>
          <w:szCs w:val="24"/>
        </w:rPr>
        <w:t>Пареха</w:t>
      </w:r>
      <w:proofErr w:type="spellEnd"/>
      <w:r w:rsidRPr="006678A7">
        <w:rPr>
          <w:rFonts w:ascii="Times New Roman" w:eastAsia="Malgun Gothic" w:hAnsi="Times New Roman" w:cs="Times New Roman"/>
          <w:b/>
          <w:sz w:val="24"/>
          <w:szCs w:val="24"/>
        </w:rPr>
        <w:t xml:space="preserve"> Максим Юрьевич, студент 4-го курса</w:t>
      </w:r>
    </w:p>
    <w:p w:rsidR="007E6F94" w:rsidRPr="006678A7" w:rsidRDefault="007E6F94" w:rsidP="007E6F94">
      <w:pPr>
        <w:tabs>
          <w:tab w:val="center" w:pos="4677"/>
          <w:tab w:val="right" w:pos="9498"/>
          <w:tab w:val="left" w:pos="9638"/>
        </w:tabs>
        <w:spacing w:after="0" w:line="240" w:lineRule="auto"/>
        <w:contextualSpacing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b/>
          <w:sz w:val="24"/>
          <w:szCs w:val="24"/>
        </w:rPr>
        <w:t>Научный руководитель Рязанов Юрий Дмитриевич, преподаватель</w:t>
      </w:r>
    </w:p>
    <w:p w:rsidR="007E6F94" w:rsidRPr="006678A7" w:rsidRDefault="007E6F94" w:rsidP="007E6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Старооскольский технологический институт им. А.А.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Угарова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МИСиС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>» Оскольский политехнический колледж, г. Старый Оскол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Ремонт электрооборудования поворотного стола для транспортировки заготовок проводиться для обеспечения бесперебойной работы электрооборудования, а также с целью достижения более высоких технико-экономических показателей производства, поэтому очень важно правильно её организовать. Ремонт данного оборудования позволит повысить точность обработки изделий, увеличить безопасность работы станка. Проведение работ по ремонту оправдано с экономической точки зрения так как на восстановление прежних технических характеристик требуется намного меньше затрат чем на покупку нового оборудования.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Ремонт электрооборудования поворотного стола для транспортировки заготовок проводилась с целью повышения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энерго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эффективности оборудования и улучшения его ремонтопригодности. 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Ремонт так же является составляющей обновления оборудования, что значительно снижает затраты предприятия в целом на закупку новых основных фондов предприятия.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Задачами ремонта электрооборудования поворотного стола являются: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1.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ab/>
        <w:t xml:space="preserve"> улучшение технико-эксплуатационных качеств оборудования до соответствия современным требованиям и нормам;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2. повышение уровня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энерго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эффективности оборудования;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3. усовершенствование отдельных элементов оборудования.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Актуальность данной темы связанна с обеспечением качественной и надежной работы электрооборудования поворотного стола для транспортировки заготовок и заключается в необходимости выбора электрооборудования с учетом современных требований.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Целью исследования является: выбор электрооборудования поворотного стола для транспортировки заготовок.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Методы исследования: изучение литературы, исследование работы и выявление проблем.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val="de-DE"/>
        </w:rPr>
      </w:pP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>Объектом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>исследования является 2 участок отделения отделки заготовки</w:t>
      </w:r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>электросталеплавильного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>цех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>а</w:t>
      </w:r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(ЭСПЦ) АО 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>«</w:t>
      </w:r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>ОЭМК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>»</w:t>
      </w:r>
      <w:r w:rsidRPr="006678A7">
        <w:rPr>
          <w:rFonts w:ascii="Times New Roman" w:eastAsia="Malgun Gothic" w:hAnsi="Times New Roman" w:cs="Times New Roman"/>
          <w:sz w:val="24"/>
          <w:szCs w:val="24"/>
          <w:lang w:val="de-DE"/>
        </w:rPr>
        <w:t>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Предметом исследования является электрооборудование поворотного стола для транспортировки заготовок.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Акционерное Общество «Оскольский электрометаллургический комбинат»</w:t>
      </w:r>
      <w:r w:rsidRPr="006678A7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 (</w:t>
      </w: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>АО «ОЭМК») входит в состав вертикально интегрированного горно-металлургического холдинга «МЕТАЛЛОИНВЕСТ» — крупнейшего производителя железной руды.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>АО «ОЭМК» работает по технологии прямого восстановления железа. Использование данной технологии в комплексе с электродуговой плавкой, позволяет получать металл высочайшего качества, что обеспечивает металлопродукции комбината уникальные потребительские свойства и устойчивый спрос на рынке.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Комбинат производит окисленные и </w:t>
      </w:r>
      <w:proofErr w:type="spellStart"/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>металлизованные</w:t>
      </w:r>
      <w:proofErr w:type="spellEnd"/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окатыши, литую заготовку, крупносортный прокат (стан 700), среднесортный и мелкосортный прокат (стан 350).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>Основным направлением деятельности электроремонтного цеха является проведение текущих, средних и капитальных ремонтов электрических машин (электродвигателей, генераторов, трансформаторов и пр.) цехов комбината [3].</w:t>
      </w:r>
    </w:p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ЭСПЦ предназначен для выплавки более 300 видов марок стали: подшипниковые, конструкционные, легированные, рессорно-пружинные и трубные марки электростали на 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lastRenderedPageBreak/>
        <w:t xml:space="preserve">шихте из скрапа и металлизированных окатышей, поставляемых цехом металлизации, с применением добавок и легирующих. </w:t>
      </w:r>
    </w:p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ЭСПЦ предназначен для выплавки более 300 видов марок стали: подшипниковых, конструктивных, легированных, рессорно-пружинных и трубных на шихте из скрапа и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металлизованных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окатышей, поставляемых цехом металлизации, с применением добавок и легирующих материалов. Жидкую сталь разливают на участке непрерывной разливки стали (УНРС) цеха в заготовки. После охлаждения и, если необходимо, зачистки заготовки подают в сортопрокатный цех, где они подвергаются дальнейшей переработке. 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ab/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ab/>
        <w:t xml:space="preserve">Выплавка стали производится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одношлаковым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процессом в четырех 150-т. дуговых сталеплавильных печах (ДСП) на шихте, включающей, как правило, до 65%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металлизованных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окатышей и 35% скрапа. Предусматривается возможность использования 50% скрапа.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К качеству заготовок, полученных на УНРС, предъявляются высокие требования. Для их обеспечения необходима соответствующая подготовка металла перед разливкой, конструкция УНРС и отдельных узлов, оптимальная работа оборудования и оптимальная технология процесса. Удаление шлака производится через порог рабочего окна электропечи. </w:t>
      </w:r>
      <w:proofErr w:type="spellStart"/>
      <w:r w:rsidRPr="006678A7">
        <w:rPr>
          <w:rFonts w:ascii="Times New Roman" w:eastAsia="Malgun Gothic" w:hAnsi="Times New Roman" w:cs="Times New Roman"/>
          <w:sz w:val="24"/>
          <w:szCs w:val="24"/>
        </w:rPr>
        <w:t>Межплавочную</w:t>
      </w:r>
      <w:proofErr w:type="spell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подготовку сталеразливочных ковшей осуществляют в распределительном пролете, где имеются соответствующие стенды </w:t>
      </w: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>[1].</w:t>
      </w:r>
    </w:p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it-IT"/>
        </w:rPr>
        <w:t>Поворотный стол для транспортировки заготовок предназначен для транспорта заготовок от горячего загрузочного рольганга в зону их пакетирования.</w:t>
      </w:r>
    </w:p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Поворотный стол состоит из самоходной платформы, на которой установлено семь приводных роликов, опускаемые </w:t>
      </w:r>
      <w:proofErr w:type="gramStart"/>
      <w:r w:rsidRPr="006678A7">
        <w:rPr>
          <w:rFonts w:ascii="Times New Roman" w:eastAsia="Times New Roman" w:hAnsi="Times New Roman" w:cs="Times New Roman"/>
          <w:sz w:val="24"/>
          <w:szCs w:val="24"/>
          <w:lang w:eastAsia="it-IT"/>
        </w:rPr>
        <w:t>упоры  и</w:t>
      </w:r>
      <w:proofErr w:type="gramEnd"/>
      <w:r w:rsidRPr="006678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стационарный упор.</w:t>
      </w:r>
    </w:p>
    <w:p w:rsidR="007E6F94" w:rsidRPr="006678A7" w:rsidRDefault="007E6F94" w:rsidP="007E6F94">
      <w:pPr>
        <w:tabs>
          <w:tab w:val="left" w:pos="851"/>
          <w:tab w:val="right" w:pos="9498"/>
          <w:tab w:val="left" w:pos="9638"/>
        </w:tabs>
        <w:suppressAutoHyphens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Когда поворотный стол находится в исходном положении, он принимает заготовки от холодного загрузочного рольганга, а затем разворачивается в позицию пакетирования. В таком положении поворотный стол остается до тех пор, пока толкатель заготовок не удалит заготовки с его роликов, а затем возвращается в исходное положение </w:t>
      </w:r>
      <w:r w:rsidRPr="006678A7">
        <w:rPr>
          <w:rFonts w:ascii="Times New Roman" w:eastAsia="Malgun Gothic" w:hAnsi="Times New Roman" w:cs="Times New Roman"/>
          <w:sz w:val="24"/>
          <w:szCs w:val="24"/>
          <w:lang w:eastAsia="ko-KR"/>
        </w:rPr>
        <w:t>[2].</w:t>
      </w:r>
    </w:p>
    <w:p w:rsidR="007E6F94" w:rsidRPr="006678A7" w:rsidRDefault="007E6F94" w:rsidP="007E6F94">
      <w:pPr>
        <w:tabs>
          <w:tab w:val="left" w:pos="851"/>
          <w:tab w:val="right" w:pos="9498"/>
          <w:tab w:val="left" w:pos="9638"/>
        </w:tabs>
        <w:suppressAutoHyphens/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>При расчете мощностей электродвигателя следует исходить из необходимости его полной загрузки в процессе работы. Двигатель заниженной мощности не сможет обеспечить заданной производительности, будет перегреваться, быстро изнашиваться и являться причиной возникновения аварий и простоев. Двигатель с завышенной мощностью будет работать с низким КПД, а стоимость эксплуатационных расходов и капитальных затрат при этом возрастет.</w:t>
      </w:r>
    </w:p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</w:pP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>Расчет мощности и предварительный выбор двигателя производят исходя из технологического режима работы по расчетным формулам, либо на основе нагрузочных диаграмм рабочих машин из паспортных данных.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При выборе электродвигателя и всего оборудования следует учитывать следующие условия: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1. климатическое исполнение; 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2. место размещения;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3. степень защиты от проникновения твердых тел и жидкости;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4. специфические условия эксплуатации.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В </w:t>
      </w: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таблице 1 представлены технические данные асинхронного </w:t>
      </w: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 xml:space="preserve">двигателя 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>1LA6 166–8AB.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Таблица 1 - Технические данные асинхронного </w:t>
      </w: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 xml:space="preserve">двигателя </w:t>
      </w:r>
      <w:r w:rsidRPr="006678A7">
        <w:rPr>
          <w:rFonts w:ascii="Times New Roman" w:eastAsia="Malgun Gothic" w:hAnsi="Times New Roman" w:cs="Times New Roman"/>
          <w:sz w:val="24"/>
          <w:szCs w:val="24"/>
        </w:rPr>
        <w:t>1LA6 166–8AB</w:t>
      </w:r>
      <w:r w:rsidRPr="006678A7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 xml:space="preserve"> с фазным ротором типа МТМ, 380В, 50Гц, 25% ПВ</w:t>
      </w:r>
    </w:p>
    <w:tbl>
      <w:tblPr>
        <w:tblW w:w="782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3119"/>
      </w:tblGrid>
      <w:tr w:rsidR="007E6F94" w:rsidRPr="006678A7" w:rsidTr="004F53A9">
        <w:trPr>
          <w:trHeight w:val="339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center" w:pos="1008"/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Значения 1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LA6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166-8AB</w:t>
            </w:r>
          </w:p>
        </w:tc>
      </w:tr>
      <w:tr w:rsidR="007E6F94" w:rsidRPr="006678A7" w:rsidTr="004F53A9">
        <w:trPr>
          <w:trHeight w:val="325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Синхронная частота вращения, 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n</w:t>
            </w:r>
            <w:proofErr w:type="gramStart"/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vertAlign w:val="subscript"/>
              </w:rPr>
              <w:t xml:space="preserve">н 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proofErr w:type="gramEnd"/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об/мин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715</w:t>
            </w:r>
          </w:p>
        </w:tc>
      </w:tr>
      <w:tr w:rsidR="007E6F94" w:rsidRPr="006678A7" w:rsidTr="004F53A9">
        <w:trPr>
          <w:trHeight w:val="325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Номинальный ток, 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vertAlign w:val="subscript"/>
              </w:rPr>
              <w:t>н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17,6</w:t>
            </w:r>
          </w:p>
        </w:tc>
      </w:tr>
      <w:tr w:rsidR="007E6F94" w:rsidRPr="006678A7" w:rsidTr="004F53A9">
        <w:trPr>
          <w:trHeight w:val="325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Номинальная мощность, 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P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vertAlign w:val="subscript"/>
              </w:rPr>
              <w:t>н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7.5</w:t>
            </w:r>
          </w:p>
        </w:tc>
      </w:tr>
      <w:tr w:rsidR="007E6F94" w:rsidRPr="006678A7" w:rsidTr="004F53A9">
        <w:trPr>
          <w:trHeight w:val="368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КПД, η, %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8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5,5</w:t>
            </w:r>
          </w:p>
        </w:tc>
      </w:tr>
      <w:tr w:rsidR="007E6F94" w:rsidRPr="006678A7" w:rsidTr="004F53A9">
        <w:trPr>
          <w:trHeight w:val="368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с</w:t>
            </w:r>
            <w:proofErr w:type="spellStart"/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 xml:space="preserve"> φ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0.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7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2</w:t>
            </w:r>
          </w:p>
        </w:tc>
      </w:tr>
      <w:tr w:rsidR="007E6F94" w:rsidRPr="006678A7" w:rsidTr="004F53A9">
        <w:trPr>
          <w:trHeight w:val="325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Номинальное напряжение,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 xml:space="preserve"> U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vertAlign w:val="subscript"/>
              </w:rPr>
              <w:t>н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,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380</w:t>
            </w:r>
          </w:p>
        </w:tc>
      </w:tr>
      <w:tr w:rsidR="007E6F94" w:rsidRPr="006678A7" w:rsidTr="004F53A9">
        <w:trPr>
          <w:trHeight w:val="325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Пусковой ток, А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5,3</w:t>
            </w:r>
          </w:p>
        </w:tc>
      </w:tr>
      <w:tr w:rsidR="007E6F94" w:rsidRPr="006678A7" w:rsidTr="004F53A9">
        <w:trPr>
          <w:trHeight w:val="354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Момент инерции 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J</w:t>
            </w: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, кг*</w:t>
            </w:r>
            <m:oMath>
              <m:sSup>
                <m:sSupPr>
                  <m:ctrlPr>
                    <w:rPr>
                      <w:rFonts w:ascii="Cambria Math" w:eastAsia="Malgun Gothic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algun Gothic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algun Gothic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0,064</w:t>
            </w:r>
          </w:p>
        </w:tc>
      </w:tr>
      <w:tr w:rsidR="007E6F94" w:rsidRPr="006678A7" w:rsidTr="004F53A9">
        <w:trPr>
          <w:trHeight w:val="325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Номинальный крутящий момент, Н*м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100</w:t>
            </w:r>
          </w:p>
        </w:tc>
      </w:tr>
      <w:tr w:rsidR="007E6F94" w:rsidRPr="006678A7" w:rsidTr="004F53A9">
        <w:trPr>
          <w:trHeight w:val="339"/>
        </w:trPr>
        <w:tc>
          <w:tcPr>
            <w:tcW w:w="4710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ind w:firstLine="29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Масса, кг</w:t>
            </w:r>
          </w:p>
        </w:tc>
        <w:tc>
          <w:tcPr>
            <w:tcW w:w="3119" w:type="dxa"/>
          </w:tcPr>
          <w:p w:rsidR="007E6F94" w:rsidRPr="006678A7" w:rsidRDefault="007E6F94" w:rsidP="004F53A9">
            <w:pPr>
              <w:tabs>
                <w:tab w:val="right" w:pos="9498"/>
                <w:tab w:val="left" w:pos="9638"/>
                <w:tab w:val="right" w:pos="10206"/>
              </w:tabs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678A7">
              <w:rPr>
                <w:rFonts w:ascii="Times New Roman" w:eastAsia="Malgun Gothic" w:hAnsi="Times New Roman" w:cs="Times New Roman"/>
                <w:sz w:val="24"/>
                <w:szCs w:val="24"/>
              </w:rPr>
              <w:t>122</w:t>
            </w:r>
          </w:p>
        </w:tc>
      </w:tr>
    </w:tbl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Критический момент для </w:t>
      </w:r>
      <w:proofErr w:type="gramStart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двигателя </w:t>
      </w:r>
      <w:r w:rsidRPr="006678A7">
        <w:rPr>
          <w:rFonts w:ascii="Times New Roman" w:eastAsia="Malgun Gothic" w:hAnsi="Times New Roman" w:cs="Times New Roman"/>
          <w:position w:val="-12"/>
          <w:sz w:val="24"/>
          <w:szCs w:val="24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8.75pt" o:ole="">
            <v:imagedata r:id="rId4" o:title=""/>
          </v:shape>
          <o:OLEObject Type="Embed" ProgID="Equation.3" ShapeID="_x0000_i1025" DrawAspect="Content" ObjectID="_1584450388" r:id="rId5"/>
        </w:object>
      </w:r>
      <w:r w:rsidRPr="006678A7">
        <w:rPr>
          <w:rFonts w:ascii="Times New Roman" w:eastAsia="Malgun Gothic" w:hAnsi="Times New Roman" w:cs="Times New Roman"/>
          <w:sz w:val="24"/>
          <w:szCs w:val="24"/>
        </w:rPr>
        <w:t>,</w:t>
      </w:r>
      <w:proofErr w:type="gram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то есть условие </w:t>
      </w:r>
      <w:r w:rsidRPr="006678A7">
        <w:rPr>
          <w:rFonts w:ascii="Times New Roman" w:eastAsia="Malgun Gothic" w:hAnsi="Times New Roman" w:cs="Times New Roman"/>
          <w:position w:val="-12"/>
          <w:sz w:val="24"/>
          <w:szCs w:val="24"/>
        </w:rPr>
        <w:object w:dxaOrig="1160" w:dyaOrig="360">
          <v:shape id="_x0000_i1026" type="#_x0000_t75" style="width:57.75pt;height:18.75pt" o:ole="">
            <v:imagedata r:id="rId6" o:title=""/>
          </v:shape>
          <o:OLEObject Type="Embed" ProgID="Equation.3" ShapeID="_x0000_i1026" DrawAspect="Content" ObjectID="_1584450389" r:id="rId7"/>
        </w:object>
      </w: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недопущения перегрузки выполняется.</w:t>
      </w:r>
    </w:p>
    <w:p w:rsidR="007E6F94" w:rsidRPr="006678A7" w:rsidRDefault="007E6F94" w:rsidP="007E6F94">
      <w:pPr>
        <w:tabs>
          <w:tab w:val="right" w:pos="9498"/>
          <w:tab w:val="left" w:pos="9638"/>
          <w:tab w:val="right" w:pos="10206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Проводя ремонт </w:t>
      </w:r>
      <w:proofErr w:type="gramStart"/>
      <w:r w:rsidRPr="006678A7">
        <w:rPr>
          <w:rFonts w:ascii="Times New Roman" w:eastAsia="Malgun Gothic" w:hAnsi="Times New Roman" w:cs="Times New Roman"/>
          <w:sz w:val="24"/>
          <w:szCs w:val="24"/>
        </w:rPr>
        <w:t>электрооборудования  поворотного</w:t>
      </w:r>
      <w:proofErr w:type="gramEnd"/>
      <w:r w:rsidRPr="006678A7">
        <w:rPr>
          <w:rFonts w:ascii="Times New Roman" w:eastAsia="Malgun Gothic" w:hAnsi="Times New Roman" w:cs="Times New Roman"/>
          <w:sz w:val="24"/>
          <w:szCs w:val="24"/>
        </w:rPr>
        <w:t xml:space="preserve"> стола для транспортировки заготовок: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увеличиваем производительность;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повышаем надежность;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повышаем эксплуатационные качества;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снижаете энергопотребление.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хорошем техническом состоянии оборудования транспортирующего рольганга, ремонт электрооборудования более целесообразна, чем покупка его современного аналога: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избегаются траты на пуско-наладочные работы, стоимость которых для некоторых видов оборудования может быть сопоставима с проведением ремонта;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требуются гораздо меньшие затрат по сравнению с приобретением нового аналогичного металлургического оборудования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ремонта электрооборудования транспортирующего рольганга отделения отделки было затрачено 11533060,90 руб.</w:t>
      </w:r>
    </w:p>
    <w:p w:rsidR="007E6F94" w:rsidRPr="006678A7" w:rsidRDefault="007E6F94" w:rsidP="007E6F94">
      <w:pPr>
        <w:tabs>
          <w:tab w:val="right" w:pos="9498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исследования реализованы следующие задачи: рассчитан и выбран асинхронный </w:t>
      </w:r>
      <w:r w:rsidRPr="0066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асинхронного </w:t>
      </w:r>
      <w:r w:rsidRPr="00667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двигателя </w:t>
      </w: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>1LA6 166–8AB</w:t>
      </w:r>
      <w:r w:rsidRPr="00667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фазным ротором типа МТМ </w:t>
      </w: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построена его механическая характеристика, а также рассчитан и выбран кабель </w:t>
      </w:r>
      <w:r w:rsidRPr="0066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 3*2,5+1*10 </w:t>
      </w: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автоматический выключатель </w:t>
      </w:r>
      <w:r w:rsidRPr="006678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ВА88-35</w:t>
      </w:r>
      <w:r w:rsidRPr="0066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Замена электродвигателя поворотного стола для транспортировки заготовок была произведена с целью улучшения качества обработки изделий, и уменьшения затрат на ремонты электрооборудования. </w:t>
      </w:r>
    </w:p>
    <w:p w:rsidR="007E6F94" w:rsidRDefault="007E6F94" w:rsidP="007E6F94">
      <w:pPr>
        <w:keepNext/>
        <w:tabs>
          <w:tab w:val="right" w:pos="9498"/>
          <w:tab w:val="left" w:pos="9638"/>
        </w:tabs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4"/>
          <w:szCs w:val="24"/>
        </w:rPr>
      </w:pPr>
    </w:p>
    <w:p w:rsidR="007E6F94" w:rsidRPr="006678A7" w:rsidRDefault="007E6F94" w:rsidP="007E6F94">
      <w:pPr>
        <w:keepNext/>
        <w:tabs>
          <w:tab w:val="right" w:pos="9498"/>
          <w:tab w:val="left" w:pos="9638"/>
        </w:tabs>
        <w:spacing w:after="0" w:line="240" w:lineRule="auto"/>
        <w:jc w:val="center"/>
        <w:outlineLvl w:val="2"/>
        <w:rPr>
          <w:rFonts w:ascii="Times New Roman" w:eastAsia="Malgun Gothic" w:hAnsi="Times New Roman" w:cs="Times New Roman"/>
          <w:sz w:val="24"/>
          <w:szCs w:val="24"/>
        </w:rPr>
      </w:pPr>
      <w:r w:rsidRPr="006678A7">
        <w:rPr>
          <w:rFonts w:ascii="Times New Roman" w:eastAsia="Malgun Gothic" w:hAnsi="Times New Roman" w:cs="Times New Roman"/>
          <w:sz w:val="24"/>
          <w:szCs w:val="24"/>
        </w:rPr>
        <w:t>Список использованных источников</w:t>
      </w:r>
    </w:p>
    <w:p w:rsidR="007E6F94" w:rsidRPr="00277A08" w:rsidRDefault="007E6F94" w:rsidP="007E6F94">
      <w:pPr>
        <w:pStyle w:val="a3"/>
        <w:tabs>
          <w:tab w:val="left" w:pos="142"/>
          <w:tab w:val="right" w:pos="9498"/>
          <w:tab w:val="left" w:pos="9638"/>
        </w:tabs>
        <w:suppressAutoHyphens/>
        <w:ind w:left="0"/>
        <w:jc w:val="both"/>
        <w:rPr>
          <w:rFonts w:eastAsia="Malgun Gothic"/>
        </w:rPr>
      </w:pPr>
      <w:r>
        <w:rPr>
          <w:rFonts w:eastAsia="Malgun Gothic"/>
        </w:rPr>
        <w:t>1.</w:t>
      </w:r>
      <w:r w:rsidRPr="00277A08">
        <w:rPr>
          <w:rFonts w:eastAsia="Malgun Gothic"/>
        </w:rPr>
        <w:t xml:space="preserve">Киреева, Э.А. Электроснабжение и электрооборудование цехов промышленных предприятий: Учебное пособие / Э.А. Киреева. - М.: </w:t>
      </w:r>
      <w:proofErr w:type="spellStart"/>
      <w:r w:rsidRPr="00277A08">
        <w:rPr>
          <w:rFonts w:eastAsia="Malgun Gothic"/>
        </w:rPr>
        <w:t>КноРус</w:t>
      </w:r>
      <w:proofErr w:type="spellEnd"/>
      <w:r w:rsidRPr="00277A08">
        <w:rPr>
          <w:rFonts w:eastAsia="Malgun Gothic"/>
        </w:rPr>
        <w:t xml:space="preserve">, 2013. - 368 c. </w:t>
      </w:r>
    </w:p>
    <w:p w:rsidR="007E6F94" w:rsidRPr="00277A08" w:rsidRDefault="007E6F94" w:rsidP="007E6F94">
      <w:pPr>
        <w:pStyle w:val="a3"/>
        <w:tabs>
          <w:tab w:val="left" w:pos="851"/>
          <w:tab w:val="right" w:pos="9498"/>
          <w:tab w:val="left" w:pos="9638"/>
        </w:tabs>
        <w:suppressAutoHyphens/>
        <w:ind w:left="0"/>
        <w:jc w:val="both"/>
        <w:rPr>
          <w:rFonts w:eastAsia="Malgun Gothic"/>
        </w:rPr>
      </w:pPr>
      <w:r>
        <w:rPr>
          <w:rFonts w:eastAsia="Malgun Gothic"/>
        </w:rPr>
        <w:t>2.</w:t>
      </w:r>
      <w:r w:rsidRPr="00277A08">
        <w:rPr>
          <w:rFonts w:eastAsia="Malgun Gothic"/>
        </w:rPr>
        <w:t xml:space="preserve">Конвейер </w:t>
      </w:r>
      <w:proofErr w:type="spellStart"/>
      <w:r w:rsidRPr="00277A08">
        <w:rPr>
          <w:rFonts w:eastAsia="Malgun Gothic"/>
        </w:rPr>
        <w:t>маш</w:t>
      </w:r>
      <w:proofErr w:type="spellEnd"/>
      <w:r w:rsidRPr="00277A08">
        <w:rPr>
          <w:rFonts w:eastAsia="Malgun Gothic"/>
        </w:rPr>
        <w:t xml:space="preserve"> [Электронный ресурс]: https://conveermash.ru/ </w:t>
      </w:r>
      <w:proofErr w:type="spellStart"/>
      <w:r w:rsidRPr="00277A08">
        <w:rPr>
          <w:rFonts w:eastAsia="Malgun Gothic"/>
        </w:rPr>
        <w:t>catalog</w:t>
      </w:r>
      <w:proofErr w:type="spellEnd"/>
      <w:r w:rsidRPr="00277A08">
        <w:rPr>
          <w:rFonts w:eastAsia="Malgun Gothic"/>
        </w:rPr>
        <w:t>/</w:t>
      </w:r>
      <w:proofErr w:type="spellStart"/>
      <w:r w:rsidRPr="00277A08">
        <w:rPr>
          <w:rFonts w:eastAsia="Malgun Gothic"/>
        </w:rPr>
        <w:t>povorotnyy-stol-dlya-rolganga</w:t>
      </w:r>
      <w:proofErr w:type="spellEnd"/>
      <w:r w:rsidRPr="00277A08">
        <w:rPr>
          <w:rFonts w:eastAsia="Malgun Gothic"/>
        </w:rPr>
        <w:t xml:space="preserve"> </w:t>
      </w:r>
      <w:r w:rsidRPr="00277A08">
        <w:rPr>
          <w:rFonts w:eastAsia="Malgun Gothic"/>
          <w:lang w:eastAsia="ko-KR"/>
        </w:rPr>
        <w:t>Поворотный стол для рольганга, 10.11.2015.</w:t>
      </w:r>
    </w:p>
    <w:p w:rsidR="007E6F94" w:rsidRPr="00277A08" w:rsidRDefault="007E6F94" w:rsidP="007E6F94">
      <w:pPr>
        <w:pStyle w:val="a3"/>
        <w:tabs>
          <w:tab w:val="left" w:pos="142"/>
          <w:tab w:val="right" w:pos="9498"/>
          <w:tab w:val="left" w:pos="9638"/>
        </w:tabs>
        <w:suppressAutoHyphens/>
        <w:ind w:left="0"/>
        <w:jc w:val="both"/>
        <w:rPr>
          <w:rFonts w:eastAsia="Malgun Gothic"/>
        </w:rPr>
      </w:pPr>
      <w:r>
        <w:rPr>
          <w:rFonts w:eastAsia="Malgun Gothic"/>
        </w:rPr>
        <w:t>3.</w:t>
      </w:r>
      <w:r w:rsidRPr="00277A08">
        <w:rPr>
          <w:rFonts w:eastAsia="Malgun Gothic"/>
        </w:rPr>
        <w:t xml:space="preserve">Металлоинвест [Электронный ресурс]: </w:t>
      </w:r>
      <w:r w:rsidRPr="00277A08">
        <w:rPr>
          <w:rFonts w:eastAsia="Malgun Gothic"/>
          <w:lang w:val="en-US"/>
        </w:rPr>
        <w:t>http</w:t>
      </w:r>
      <w:r w:rsidRPr="00277A08">
        <w:rPr>
          <w:rFonts w:eastAsia="Malgun Gothic"/>
        </w:rPr>
        <w:t>://</w:t>
      </w:r>
      <w:r w:rsidRPr="00277A08">
        <w:rPr>
          <w:rFonts w:eastAsia="Malgun Gothic"/>
          <w:lang w:val="en-US"/>
        </w:rPr>
        <w:t>www</w:t>
      </w:r>
      <w:r w:rsidRPr="00277A08">
        <w:rPr>
          <w:rFonts w:eastAsia="Malgun Gothic"/>
        </w:rPr>
        <w:t>.</w:t>
      </w:r>
      <w:proofErr w:type="spellStart"/>
      <w:r w:rsidRPr="00277A08">
        <w:rPr>
          <w:rFonts w:eastAsia="Malgun Gothic"/>
          <w:lang w:val="en-US"/>
        </w:rPr>
        <w:t>metalloinve</w:t>
      </w:r>
      <w:proofErr w:type="spellEnd"/>
      <w:r w:rsidRPr="00277A08">
        <w:rPr>
          <w:rFonts w:eastAsia="Malgun Gothic"/>
        </w:rPr>
        <w:t xml:space="preserve"> </w:t>
      </w:r>
      <w:proofErr w:type="spellStart"/>
      <w:r w:rsidRPr="00277A08">
        <w:rPr>
          <w:rFonts w:eastAsia="Malgun Gothic"/>
          <w:lang w:val="en-US"/>
        </w:rPr>
        <w:t>st</w:t>
      </w:r>
      <w:proofErr w:type="spellEnd"/>
      <w:r w:rsidRPr="00277A08">
        <w:rPr>
          <w:rFonts w:eastAsia="Malgun Gothic"/>
        </w:rPr>
        <w:t>.</w:t>
      </w:r>
      <w:r w:rsidRPr="00277A08">
        <w:rPr>
          <w:rFonts w:eastAsia="Malgun Gothic"/>
          <w:lang w:val="en-US"/>
        </w:rPr>
        <w:t>com</w:t>
      </w:r>
      <w:r w:rsidRPr="00277A08">
        <w:rPr>
          <w:rFonts w:eastAsia="Malgun Gothic"/>
        </w:rPr>
        <w:t>/</w:t>
      </w:r>
      <w:r w:rsidRPr="00277A08">
        <w:rPr>
          <w:rFonts w:eastAsia="Malgun Gothic"/>
          <w:lang w:val="en-US"/>
        </w:rPr>
        <w:t>business</w:t>
      </w:r>
      <w:r w:rsidRPr="00277A08">
        <w:rPr>
          <w:rFonts w:eastAsia="Malgun Gothic"/>
        </w:rPr>
        <w:t>/</w:t>
      </w:r>
      <w:r w:rsidRPr="00277A08">
        <w:rPr>
          <w:rFonts w:eastAsia="Malgun Gothic"/>
          <w:lang w:val="en-US"/>
        </w:rPr>
        <w:t>steel</w:t>
      </w:r>
      <w:r w:rsidRPr="00277A08">
        <w:rPr>
          <w:rFonts w:eastAsia="Malgun Gothic"/>
        </w:rPr>
        <w:t>/</w:t>
      </w:r>
      <w:proofErr w:type="spellStart"/>
      <w:r w:rsidRPr="00277A08">
        <w:rPr>
          <w:rFonts w:eastAsia="Malgun Gothic"/>
          <w:lang w:val="en-US"/>
        </w:rPr>
        <w:t>oemk</w:t>
      </w:r>
      <w:proofErr w:type="spellEnd"/>
      <w:r w:rsidRPr="00277A08">
        <w:rPr>
          <w:rFonts w:eastAsia="Malgun Gothic"/>
        </w:rPr>
        <w:t>/ ОЭМК, 12.05.2016.</w:t>
      </w:r>
    </w:p>
    <w:p w:rsidR="007E6F94" w:rsidRDefault="007E6F94" w:rsidP="007E6F94">
      <w:pPr>
        <w:tabs>
          <w:tab w:val="left" w:pos="78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DE1" w:rsidRDefault="00864DE1">
      <w:bookmarkStart w:id="0" w:name="_GoBack"/>
      <w:bookmarkEnd w:id="0"/>
    </w:p>
    <w:sectPr w:rsidR="0086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94"/>
    <w:rsid w:val="007E6F94"/>
    <w:rsid w:val="008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B0A0-5C09-4AFC-88CE-48141AC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2018-04-05T13:20:00Z</dcterms:created>
  <dcterms:modified xsi:type="dcterms:W3CDTF">2018-04-05T13:20:00Z</dcterms:modified>
</cp:coreProperties>
</file>