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A" w:rsidRPr="0089374A" w:rsidRDefault="003414BA" w:rsidP="009249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374A">
        <w:rPr>
          <w:rFonts w:ascii="Times New Roman" w:hAnsi="Times New Roman"/>
          <w:b/>
          <w:i/>
          <w:sz w:val="24"/>
          <w:szCs w:val="24"/>
        </w:rPr>
        <w:t>Реконструкция электрооборудования трансформаторной подстанции</w:t>
      </w:r>
      <w:r w:rsidR="009249F7">
        <w:rPr>
          <w:rFonts w:ascii="Times New Roman" w:hAnsi="Times New Roman"/>
          <w:b/>
          <w:i/>
          <w:sz w:val="24"/>
          <w:szCs w:val="24"/>
        </w:rPr>
        <w:t>,</w:t>
      </w:r>
    </w:p>
    <w:p w:rsidR="003414BA" w:rsidRPr="0089374A" w:rsidRDefault="003414BA" w:rsidP="0089374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9374A">
        <w:rPr>
          <w:rFonts w:ascii="Times New Roman" w:hAnsi="Times New Roman"/>
          <w:b/>
          <w:i/>
          <w:sz w:val="24"/>
          <w:szCs w:val="24"/>
        </w:rPr>
        <w:t>АО «СОАТЭ»</w:t>
      </w:r>
    </w:p>
    <w:p w:rsidR="003414BA" w:rsidRPr="0089374A" w:rsidRDefault="003414BA" w:rsidP="009249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374A">
        <w:rPr>
          <w:rFonts w:ascii="Times New Roman" w:hAnsi="Times New Roman"/>
          <w:b/>
          <w:i/>
          <w:sz w:val="24"/>
          <w:szCs w:val="24"/>
        </w:rPr>
        <w:t>Мелихов Дмитрий Андреевич, студент 4-го курса</w:t>
      </w:r>
    </w:p>
    <w:p w:rsidR="003414BA" w:rsidRPr="0089374A" w:rsidRDefault="003414BA" w:rsidP="009249F7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374A">
        <w:rPr>
          <w:rFonts w:ascii="Times New Roman" w:hAnsi="Times New Roman"/>
          <w:b/>
          <w:i/>
          <w:sz w:val="24"/>
          <w:szCs w:val="24"/>
        </w:rPr>
        <w:t>Научный руководитель Комарова Юлия Викторовна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Реконструкция – проведение строительных работ в целях изменения существующих технико-э</w:t>
      </w:r>
      <w:bookmarkStart w:id="0" w:name="_GoBack"/>
      <w:bookmarkEnd w:id="0"/>
      <w:r w:rsidRPr="0089374A">
        <w:rPr>
          <w:rFonts w:ascii="Times New Roman" w:hAnsi="Times New Roman"/>
          <w:sz w:val="24"/>
          <w:szCs w:val="24"/>
        </w:rPr>
        <w:t>кономических показателей объекта и повышения эффективности его использования, предусматривающих: реорганизацию объекта, изменение габаритов и технических показателей, капитальное строительство, пристройки, надстройки, разборка и усиление несущих конструкций, переоборудование чердачного помещения под мансарду, строительство и реконструкцию инженерных систем и коммуникаций.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Актуальность темы связана с необходимостью обеспечения бесперебойной и качественной электроэнергии цеха №14. Заключается в разработке схемы электроснабжения и выбора элементов схемы с учётом новейших достижений науки и техники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Целью является расчет и выбор электрооборудования трансформаторной подстанции.</w:t>
      </w:r>
      <w:r w:rsidRPr="0089374A">
        <w:rPr>
          <w:rFonts w:ascii="Times New Roman" w:hAnsi="Times New Roman"/>
          <w:sz w:val="24"/>
          <w:szCs w:val="24"/>
        </w:rPr>
        <w:tab/>
      </w:r>
    </w:p>
    <w:p w:rsidR="003414B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Объектом исследования является цех №14, Акционерного общества «Старооскольский завод автотракторного электрооборудования им А. М. Мамонова».</w:t>
      </w:r>
    </w:p>
    <w:p w:rsidR="003414BA" w:rsidRPr="00B8470D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70D">
        <w:rPr>
          <w:rFonts w:ascii="Times New Roman" w:hAnsi="Times New Roman"/>
          <w:sz w:val="24"/>
          <w:szCs w:val="24"/>
        </w:rPr>
        <w:t xml:space="preserve">Акционерное общество «Старооскольский завод автотракторного электрооборудования им А. М. Мамонова» является одним из предприятий страны по производству </w:t>
      </w:r>
      <w:proofErr w:type="spellStart"/>
      <w:r w:rsidRPr="00B8470D">
        <w:rPr>
          <w:rFonts w:ascii="Times New Roman" w:hAnsi="Times New Roman"/>
          <w:sz w:val="24"/>
          <w:szCs w:val="24"/>
        </w:rPr>
        <w:t>автоэлектрооборудования</w:t>
      </w:r>
      <w:proofErr w:type="spellEnd"/>
      <w:r w:rsidRPr="00B8470D">
        <w:rPr>
          <w:rFonts w:ascii="Times New Roman" w:hAnsi="Times New Roman"/>
          <w:sz w:val="24"/>
          <w:szCs w:val="24"/>
        </w:rPr>
        <w:t>, основным поставщиком ряда компонентов для автомобильных, тракторных, мотоциклетных и моторных компаний России и стран СНГ.</w:t>
      </w:r>
    </w:p>
    <w:p w:rsidR="003414B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Предметом исследования является электрооборудование трансформаторной подстанции цеха №14</w:t>
      </w:r>
      <w:r>
        <w:rPr>
          <w:rFonts w:ascii="Times New Roman" w:hAnsi="Times New Roman"/>
          <w:sz w:val="24"/>
          <w:szCs w:val="24"/>
        </w:rPr>
        <w:t>.</w:t>
      </w:r>
    </w:p>
    <w:p w:rsidR="003414B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374A">
        <w:rPr>
          <w:rFonts w:ascii="Times New Roman" w:hAnsi="Times New Roman"/>
          <w:sz w:val="24"/>
          <w:szCs w:val="24"/>
        </w:rPr>
        <w:t xml:space="preserve">В 14 цехе происходит производство сухих и масляных катушек зажигания (модули зажигания) для </w:t>
      </w:r>
      <w:proofErr w:type="spellStart"/>
      <w:r w:rsidRPr="0089374A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 двигателей с установкой на отечественные автомобили LADA2108-09, 2110-15 (16 </w:t>
      </w:r>
      <w:proofErr w:type="spellStart"/>
      <w:r w:rsidRPr="0089374A">
        <w:rPr>
          <w:rFonts w:ascii="Times New Roman" w:hAnsi="Times New Roman"/>
          <w:sz w:val="24"/>
          <w:szCs w:val="24"/>
        </w:rPr>
        <w:t>кл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.); 2110, 2113-15, 1118 (8 </w:t>
      </w:r>
      <w:proofErr w:type="spellStart"/>
      <w:r w:rsidRPr="0089374A">
        <w:rPr>
          <w:rFonts w:ascii="Times New Roman" w:hAnsi="Times New Roman"/>
          <w:sz w:val="24"/>
          <w:szCs w:val="24"/>
        </w:rPr>
        <w:t>кл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.); ГАЗ 3110, </w:t>
      </w:r>
      <w:r w:rsidR="009249F7" w:rsidRPr="0089374A">
        <w:rPr>
          <w:rFonts w:ascii="Times New Roman" w:hAnsi="Times New Roman"/>
          <w:sz w:val="24"/>
          <w:szCs w:val="24"/>
        </w:rPr>
        <w:t>2705, 3221</w:t>
      </w:r>
      <w:r w:rsidRPr="0089374A">
        <w:rPr>
          <w:rFonts w:ascii="Times New Roman" w:hAnsi="Times New Roman"/>
          <w:sz w:val="24"/>
          <w:szCs w:val="24"/>
        </w:rPr>
        <w:t>, 2217, 2752, 3102 (</w:t>
      </w:r>
      <w:proofErr w:type="spellStart"/>
      <w:r w:rsidRPr="0089374A">
        <w:rPr>
          <w:rFonts w:ascii="Times New Roman" w:hAnsi="Times New Roman"/>
          <w:sz w:val="24"/>
          <w:szCs w:val="24"/>
        </w:rPr>
        <w:t>дв</w:t>
      </w:r>
      <w:proofErr w:type="spellEnd"/>
      <w:r w:rsidRPr="0089374A">
        <w:rPr>
          <w:rFonts w:ascii="Times New Roman" w:hAnsi="Times New Roman"/>
          <w:sz w:val="24"/>
          <w:szCs w:val="24"/>
        </w:rPr>
        <w:t>. ЗМЗ 406, 405); УАЗ 3160 (</w:t>
      </w:r>
      <w:proofErr w:type="spellStart"/>
      <w:r w:rsidRPr="0089374A">
        <w:rPr>
          <w:rFonts w:ascii="Times New Roman" w:hAnsi="Times New Roman"/>
          <w:sz w:val="24"/>
          <w:szCs w:val="24"/>
        </w:rPr>
        <w:t>дв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. ЗМЗ 406, 405); </w:t>
      </w:r>
      <w:proofErr w:type="spellStart"/>
      <w:r w:rsidRPr="0089374A">
        <w:rPr>
          <w:rFonts w:ascii="Times New Roman" w:hAnsi="Times New Roman"/>
          <w:sz w:val="24"/>
          <w:szCs w:val="24"/>
        </w:rPr>
        <w:t>Daewoo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74A">
        <w:rPr>
          <w:rFonts w:ascii="Times New Roman" w:hAnsi="Times New Roman"/>
          <w:sz w:val="24"/>
          <w:szCs w:val="24"/>
        </w:rPr>
        <w:t>Opel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74A">
        <w:rPr>
          <w:rFonts w:ascii="Times New Roman" w:hAnsi="Times New Roman"/>
          <w:sz w:val="24"/>
          <w:szCs w:val="24"/>
        </w:rPr>
        <w:t>Hyundai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74A">
        <w:rPr>
          <w:rFonts w:ascii="Times New Roman" w:hAnsi="Times New Roman"/>
          <w:sz w:val="24"/>
          <w:szCs w:val="24"/>
        </w:rPr>
        <w:t>Ford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74A">
        <w:rPr>
          <w:rFonts w:ascii="Times New Roman" w:hAnsi="Times New Roman"/>
          <w:sz w:val="24"/>
          <w:szCs w:val="24"/>
        </w:rPr>
        <w:t>Mazda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374A">
        <w:rPr>
          <w:rFonts w:ascii="Times New Roman" w:hAnsi="Times New Roman"/>
          <w:sz w:val="24"/>
          <w:szCs w:val="24"/>
        </w:rPr>
        <w:t>Toyota</w:t>
      </w:r>
      <w:proofErr w:type="spellEnd"/>
      <w:r w:rsidRPr="0089374A">
        <w:rPr>
          <w:rFonts w:ascii="Times New Roman" w:hAnsi="Times New Roman"/>
          <w:sz w:val="24"/>
          <w:szCs w:val="24"/>
        </w:rPr>
        <w:t>. Для машин LADA семейства 10й модели выпускается индивидуальная катушка зажигания на одну свечу.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374A">
        <w:rPr>
          <w:rFonts w:ascii="Times New Roman" w:hAnsi="Times New Roman"/>
          <w:sz w:val="24"/>
          <w:szCs w:val="24"/>
        </w:rPr>
        <w:t xml:space="preserve">Также происходит сборка </w:t>
      </w:r>
      <w:proofErr w:type="spellStart"/>
      <w:r w:rsidRPr="0089374A">
        <w:rPr>
          <w:rFonts w:ascii="Times New Roman" w:hAnsi="Times New Roman"/>
          <w:sz w:val="24"/>
          <w:szCs w:val="24"/>
        </w:rPr>
        <w:t>топливопроводов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 низкого и высокого давления, регулятора топливного давления, электрического и механического бензонасоса, и коммутатора зажигания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 xml:space="preserve">Реконструкция трансформаторных подстанций производится с целью повышения </w:t>
      </w:r>
      <w:r w:rsidR="009249F7" w:rsidRPr="0089374A">
        <w:rPr>
          <w:rFonts w:ascii="Times New Roman" w:hAnsi="Times New Roman"/>
          <w:sz w:val="24"/>
          <w:szCs w:val="24"/>
        </w:rPr>
        <w:t>мощности уже</w:t>
      </w:r>
      <w:r w:rsidRPr="0089374A">
        <w:rPr>
          <w:rFonts w:ascii="Times New Roman" w:hAnsi="Times New Roman"/>
          <w:sz w:val="24"/>
          <w:szCs w:val="24"/>
        </w:rPr>
        <w:t xml:space="preserve"> существующих подстанций, для повышения надежности и продолжительности эксплуатации объекта. Реконструкцию ТП проводят, когда строительство новой подстанции невозможно по ряду причин, когда происходит физическое и моральное устаревание оборудования. Такое решение имеет немало преимуществ перед строительством новых подстанций, является экономически выгодным вариантом, так как возведение новых ТП требует немалых затрат и наличия земельных участков под строительство.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Расчёт электрических нагрузок – наиболее ответственный расчёт, выполняемый при проектировании системы электроснабжения каждого предприятия любой отрасли народного хозяйства. Электрические нагрузки являются исходными данными для решения сложного комплекса технических и экономических вопросов, возникающих при проектировании электроснабжения современного промышленного предприятия. Определение электрических нагрузок производится с целью выбора и проверки токоведущих элементов и трансформаторов по нагреву и экономическим соображениям, расчета отклонений и колебаний напряжений, выбора компенсирующих установок защитные устройства и т.д.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 xml:space="preserve">   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lastRenderedPageBreak/>
        <w:t xml:space="preserve">Правильный выбор числа и мощности трансформаторов на подстанции промышленного </w:t>
      </w:r>
      <w:r w:rsidR="009249F7" w:rsidRPr="0089374A">
        <w:rPr>
          <w:rFonts w:ascii="Times New Roman" w:hAnsi="Times New Roman"/>
          <w:spacing w:val="4"/>
          <w:sz w:val="24"/>
          <w:szCs w:val="24"/>
          <w:lang w:eastAsia="ru-RU"/>
        </w:rPr>
        <w:t>предприятия цехов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="009249F7" w:rsidRPr="0089374A">
        <w:rPr>
          <w:rFonts w:ascii="Times New Roman" w:hAnsi="Times New Roman"/>
          <w:spacing w:val="4"/>
          <w:sz w:val="24"/>
          <w:szCs w:val="24"/>
          <w:lang w:eastAsia="ru-RU"/>
        </w:rPr>
        <w:t>является одним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из важных вопросов электроснабжения и построение рациональных сетей. В нормальных условиях трансформаторы должны обеспечивать питание всех потребителей при номинальной нагрузки.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Наилучшим вариантом, обеспечивающее 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безперебойное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электроснабжение первой или второй категории, является 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двухтрансформаторные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подстанции. Кроме того, 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двухтрансформаторные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подстанции целесообразны при не равномерном суточном годовом графике предприятия, при сезонном режиме работы, </w:t>
      </w:r>
      <w:r w:rsidR="009249F7" w:rsidRPr="0089374A">
        <w:rPr>
          <w:rFonts w:ascii="Times New Roman" w:hAnsi="Times New Roman"/>
          <w:spacing w:val="4"/>
          <w:sz w:val="24"/>
          <w:szCs w:val="24"/>
          <w:lang w:eastAsia="ru-RU"/>
        </w:rPr>
        <w:t>при значительном разницей нагрузке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в сменах.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Выбор трансформаторов заключается в определении требуемого числа, типа, номинальных напряжений и мощностей.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Правильное определение числа и мощности цеховых трансформаторов возможно с учетом следующих факторов: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1)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  <w:t>категория надёжности электроснабжения потребителей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2)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  <w:t>шага стандарта мощностей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3)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  <w:t>перегрузочные способности трансформатора в нормальных и аварийных режимах</w:t>
      </w:r>
    </w:p>
    <w:p w:rsidR="003414BA" w:rsidRPr="0089374A" w:rsidRDefault="003414BA" w:rsidP="009249F7">
      <w:pPr>
        <w:suppressAutoHyphens/>
        <w:spacing w:after="0" w:line="240" w:lineRule="auto"/>
        <w:ind w:firstLine="568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Таблица 1 – Технические данные трансформатора</w:t>
      </w:r>
    </w:p>
    <w:tbl>
      <w:tblPr>
        <w:tblW w:w="738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62"/>
        <w:gridCol w:w="992"/>
        <w:gridCol w:w="851"/>
        <w:gridCol w:w="1275"/>
        <w:gridCol w:w="993"/>
        <w:gridCol w:w="708"/>
      </w:tblGrid>
      <w:tr w:rsidR="003414BA" w:rsidRPr="0089374A" w:rsidTr="009249F7">
        <w:trPr>
          <w:trHeight w:val="806"/>
          <w:jc w:val="center"/>
        </w:trPr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Тип трансформатора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Px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Pk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Икз</w:t>
            </w:r>
            <w:proofErr w:type="spellEnd"/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,</w:t>
            </w:r>
            <w:r w:rsid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Ixx</w:t>
            </w:r>
            <w:proofErr w:type="spellEnd"/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,</w:t>
            </w:r>
            <w:r w:rsid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Ik</w:t>
            </w:r>
            <w:proofErr w:type="spellEnd"/>
          </w:p>
        </w:tc>
      </w:tr>
      <w:tr w:rsidR="003414BA" w:rsidRPr="0089374A" w:rsidTr="009249F7">
        <w:trPr>
          <w:trHeight w:val="404"/>
          <w:jc w:val="center"/>
        </w:trPr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ТМ-400/6/0,38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4BA" w:rsidRPr="009249F7" w:rsidRDefault="003414BA" w:rsidP="009249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9249F7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2,6</w:t>
            </w:r>
          </w:p>
        </w:tc>
      </w:tr>
    </w:tbl>
    <w:p w:rsidR="003414BA" w:rsidRPr="0089374A" w:rsidRDefault="003414BA" w:rsidP="00924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Экономическая эффективность - это соотношение между полученными результатами производства - продукцией и услугами, с одной стороны, и затратами труда и средств производства - с другой.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 xml:space="preserve">Реконструкция трансформаторной подстанции производится с целью восстановления </w:t>
      </w:r>
      <w:proofErr w:type="spellStart"/>
      <w:r w:rsidRPr="0089374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9374A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</w:r>
      <w:r w:rsidRPr="0089374A">
        <w:rPr>
          <w:rFonts w:ascii="Times New Roman" w:hAnsi="Times New Roman"/>
          <w:sz w:val="24"/>
          <w:szCs w:val="24"/>
        </w:rPr>
        <w:tab/>
        <w:t>Полная окупаемость вложений наступит через 3 месяца бесперебойной работы трансформаторной подстанции.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ab/>
        <w:t>Реконструкция электрооборудования трансформаторной подстанции даёт: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>1. Гарантированное снабжение электроэнергией потребителей;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>2. Повышение надёжности, эффективности ТП;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>3. Коммерческий, качественный учет потребления электроэнергии;</w:t>
      </w:r>
    </w:p>
    <w:p w:rsidR="003414BA" w:rsidRPr="0089374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>4. Существенное снижение затрат, возникающих при эксплуатации;</w:t>
      </w:r>
    </w:p>
    <w:p w:rsidR="003414BA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74A">
        <w:rPr>
          <w:rFonts w:ascii="Times New Roman" w:hAnsi="Times New Roman"/>
          <w:sz w:val="24"/>
          <w:szCs w:val="24"/>
        </w:rPr>
        <w:t>5. Безопасное увеличение мощности трансформаторов.</w:t>
      </w:r>
    </w:p>
    <w:p w:rsidR="003414BA" w:rsidRPr="00B8470D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70D">
        <w:rPr>
          <w:rFonts w:ascii="Times New Roman" w:hAnsi="Times New Roman"/>
          <w:sz w:val="24"/>
          <w:szCs w:val="24"/>
        </w:rPr>
        <w:t>Электрооборудование трансформаторной подстанции, цех №14 АО «СОАТЭ» благодаря своевременной реконструкции может работать более эффективно за счет сокращения потерь электроэнергии и рационального использования времени и средств, которые затрачиваются на ремонт электрооборудования</w:t>
      </w:r>
    </w:p>
    <w:p w:rsidR="003414BA" w:rsidRPr="00B8470D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70D">
        <w:rPr>
          <w:rFonts w:ascii="Times New Roman" w:hAnsi="Times New Roman"/>
          <w:sz w:val="24"/>
          <w:szCs w:val="24"/>
        </w:rPr>
        <w:t>В ходе выполнения курсовой работы были реализованы следующие задачи: составлен график предупредительных плановых ремонтов, включающий в себя текущий и капитальные ремонты; трудоемкость работ на ремонт составила 31 человеко-часов, соответственно численность персонала - 5 человек; фонд заработной платы составил 4809,4 руб.; приведено полное описание материалов на ремонт - 389923,54 руб.; смета затрат составила в денежном эквиваленте - 396175,76 руб.; рассчитана экономическая эффективность ремонта.</w:t>
      </w:r>
    </w:p>
    <w:p w:rsidR="003414BA" w:rsidRPr="00B8470D" w:rsidRDefault="003414BA" w:rsidP="00924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70D">
        <w:rPr>
          <w:rFonts w:ascii="Times New Roman" w:hAnsi="Times New Roman"/>
          <w:sz w:val="24"/>
          <w:szCs w:val="24"/>
        </w:rPr>
        <w:t>Экономический эффект был достигнут благодаря проведению реконструкции электрооборудования, предупреждающий его выход из строя. Экономическая эффективность наступает на 3 месяц бесперебойной работы электрооборудования.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14BA" w:rsidRPr="0089374A" w:rsidRDefault="003414BA" w:rsidP="009249F7">
      <w:pPr>
        <w:spacing w:after="0" w:line="240" w:lineRule="auto"/>
        <w:contextualSpacing/>
        <w:jc w:val="center"/>
        <w:rPr>
          <w:rFonts w:ascii="Times New Roman" w:hAnsi="Times New Roman"/>
          <w:b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b/>
          <w:spacing w:val="4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1.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  <w:t>Правила технической эксплуатации электроустановок потребителей/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КноРус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, 2013</w:t>
      </w:r>
      <w:r w:rsidR="009249F7">
        <w:rPr>
          <w:rFonts w:ascii="Times New Roman" w:hAnsi="Times New Roman"/>
          <w:spacing w:val="4"/>
          <w:sz w:val="24"/>
          <w:szCs w:val="24"/>
          <w:lang w:eastAsia="ru-RU"/>
        </w:rPr>
        <w:t xml:space="preserve">. 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-</w:t>
      </w:r>
      <w:r w:rsidR="009249F7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280с.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2.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  <w:t>Правила устройства электроустановок (ПУЭ): Учебник для учащихся электротехнических специальностей средних спец. учебных заведений. 4-е издание, переработано и дополнено – М.: Издательство НЦ ЭНАС, 2013 – 647 с.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3.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  <w:t xml:space="preserve">Белых, Л.П. Реконструкция предприятия: учеб. пособие/Л.П. Белых, М.А. Федотова – М.: 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Юнити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–Дана, 2015.</w:t>
      </w:r>
      <w:r w:rsidR="009249F7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-</w:t>
      </w:r>
      <w:r w:rsidR="009249F7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287с. 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4.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Прыкина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, Л.В. Экономический анализ предприятия: учеб. пособие/Л.В. 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Прыкина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- М.: 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Юнити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-Дана, 2016. - 205 с.</w:t>
      </w:r>
    </w:p>
    <w:p w:rsidR="003414BA" w:rsidRPr="0089374A" w:rsidRDefault="003414BA" w:rsidP="009249F7">
      <w:pPr>
        <w:spacing w:after="0" w:line="240" w:lineRule="auto"/>
        <w:contextualSpacing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5.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ab/>
        <w:t xml:space="preserve">Система технического обслуживания и ремонта энергетического оборудования: [Электронный ресурс]: Справочник </w:t>
      </w:r>
      <w:r w:rsidRPr="0089374A">
        <w:rPr>
          <w:rFonts w:ascii="Times New Roman" w:hAnsi="Times New Roman"/>
          <w:spacing w:val="4"/>
          <w:sz w:val="24"/>
          <w:szCs w:val="24"/>
          <w:lang w:val="en-US" w:eastAsia="ru-RU"/>
        </w:rPr>
        <w:t>http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://</w:t>
      </w:r>
      <w:r w:rsidRPr="0089374A">
        <w:rPr>
          <w:rFonts w:ascii="Times New Roman" w:hAnsi="Times New Roman"/>
          <w:spacing w:val="4"/>
          <w:sz w:val="24"/>
          <w:szCs w:val="24"/>
          <w:lang w:val="en-US" w:eastAsia="ru-RU"/>
        </w:rPr>
        <w:t>www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  <w:r w:rsidRPr="0089374A">
        <w:rPr>
          <w:rFonts w:ascii="Times New Roman" w:hAnsi="Times New Roman"/>
          <w:spacing w:val="4"/>
          <w:sz w:val="24"/>
          <w:szCs w:val="24"/>
          <w:lang w:val="en-US" w:eastAsia="ru-RU"/>
        </w:rPr>
        <w:t>e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-</w:t>
      </w:r>
      <w:r w:rsidRPr="0089374A">
        <w:rPr>
          <w:rFonts w:ascii="Times New Roman" w:hAnsi="Times New Roman"/>
          <w:spacing w:val="4"/>
          <w:sz w:val="24"/>
          <w:szCs w:val="24"/>
          <w:lang w:val="en-US" w:eastAsia="ru-RU"/>
        </w:rPr>
        <w:t>reading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  <w:r w:rsidRPr="0089374A">
        <w:rPr>
          <w:rFonts w:ascii="Times New Roman" w:hAnsi="Times New Roman"/>
          <w:spacing w:val="4"/>
          <w:sz w:val="24"/>
          <w:szCs w:val="24"/>
          <w:lang w:val="en-US" w:eastAsia="ru-RU"/>
        </w:rPr>
        <w:t>club</w:t>
      </w:r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/ 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val="en-US" w:eastAsia="ru-RU"/>
        </w:rPr>
        <w:t>bookreader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  <w:proofErr w:type="spellStart"/>
      <w:r w:rsidRPr="0089374A">
        <w:rPr>
          <w:rFonts w:ascii="Times New Roman" w:hAnsi="Times New Roman"/>
          <w:spacing w:val="4"/>
          <w:sz w:val="24"/>
          <w:szCs w:val="24"/>
          <w:lang w:val="en-US" w:eastAsia="ru-RU"/>
        </w:rPr>
        <w:t>php</w:t>
      </w:r>
      <w:proofErr w:type="spellEnd"/>
      <w:r w:rsidRPr="0089374A">
        <w:rPr>
          <w:rFonts w:ascii="Times New Roman" w:hAnsi="Times New Roman"/>
          <w:spacing w:val="4"/>
          <w:sz w:val="24"/>
          <w:szCs w:val="24"/>
          <w:lang w:eastAsia="ru-RU"/>
        </w:rPr>
        <w:t xml:space="preserve"> </w:t>
      </w:r>
    </w:p>
    <w:sectPr w:rsidR="003414BA" w:rsidRPr="0089374A" w:rsidSect="0067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6D7"/>
    <w:multiLevelType w:val="hybridMultilevel"/>
    <w:tmpl w:val="866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D87DE4"/>
    <w:multiLevelType w:val="hybridMultilevel"/>
    <w:tmpl w:val="B208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F1768"/>
    <w:multiLevelType w:val="hybridMultilevel"/>
    <w:tmpl w:val="51E0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7F"/>
    <w:rsid w:val="000F2918"/>
    <w:rsid w:val="0015152D"/>
    <w:rsid w:val="00180C41"/>
    <w:rsid w:val="0018434F"/>
    <w:rsid w:val="002910E8"/>
    <w:rsid w:val="003414BA"/>
    <w:rsid w:val="00422753"/>
    <w:rsid w:val="00432541"/>
    <w:rsid w:val="0045537D"/>
    <w:rsid w:val="0059266D"/>
    <w:rsid w:val="006728FF"/>
    <w:rsid w:val="006B3216"/>
    <w:rsid w:val="00773ECA"/>
    <w:rsid w:val="00782611"/>
    <w:rsid w:val="00801A75"/>
    <w:rsid w:val="0089374A"/>
    <w:rsid w:val="009249F7"/>
    <w:rsid w:val="00925A7F"/>
    <w:rsid w:val="00A42993"/>
    <w:rsid w:val="00B00A2E"/>
    <w:rsid w:val="00B01F78"/>
    <w:rsid w:val="00B700F3"/>
    <w:rsid w:val="00B8470D"/>
    <w:rsid w:val="00B919F3"/>
    <w:rsid w:val="00BF0882"/>
    <w:rsid w:val="00CA5B03"/>
    <w:rsid w:val="00DE43EE"/>
    <w:rsid w:val="00E213C9"/>
    <w:rsid w:val="00E435ED"/>
    <w:rsid w:val="00E63566"/>
    <w:rsid w:val="00E65150"/>
    <w:rsid w:val="00E820F9"/>
    <w:rsid w:val="00EB2768"/>
    <w:rsid w:val="00EF7404"/>
    <w:rsid w:val="00F072B8"/>
    <w:rsid w:val="00F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2485F-3F06-42E0-9328-A150DFC8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3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10412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EF740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2018-04-05T09:42:00Z</dcterms:created>
  <dcterms:modified xsi:type="dcterms:W3CDTF">2018-04-05T09:42:00Z</dcterms:modified>
</cp:coreProperties>
</file>