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и науки Республики Саха (Якутия)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ГБПОУ РС(Я) «Якутский медицинский колледж»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sz w:val="24"/>
          <w:szCs w:val="24"/>
          <w:lang w:eastAsia="ru-RU"/>
        </w:rPr>
        <w:drawing>
          <wp:inline distT="0" distB="101600" distL="0" distR="0">
            <wp:extent cx="1219200" cy="1219200"/>
            <wp:effectExtent l="0" t="0" r="0" b="0"/>
            <wp:docPr id="1" name="Рисунок 1" descr="F:\Мои рисун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Мои рисун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Охлопкова С.А.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УЧЕБНО-МЕТОДИЧЕСКАЯ РАЗРАБОТКА ТРЕНИНГА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ТЕМЕ «РАСШИРЕННАЯ СЕРДЕЧНО-ЛЕГОЧНАЯ РЕАНИМАЦИЯ»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Якутск - 2018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Рассмотрено на заседании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ЦМК № 1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Председатель: Федулова М.Г.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Составитель: Охлопкова Сардана Алексеевна, методист ГБПОУ РС (Я) «Якутский медицинский колледж»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Аннотация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36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Учебно-методическая разработка предназначена для проведения практического занятия в рамках освоения профессионального модуля «Оказание доврачебной помощи при неотложных и экстремальных состояниях» при реализации дополнительных профессиональных программ повышения квалификации (по специальностям «Сестринское дело», «Лечебное дело», «Акушерское дело»).  Учебные цели практического занятия: совершенствование профессиональных компетенций по оказанию доврачебной помощи при неотложных состояниях и травмах в т.ч. при взаимодействии с членами профессиональной бригады и добровольными помощниками в условиях чрезвычайных ситуаций.</w:t>
      </w:r>
    </w:p>
    <w:p>
      <w:pPr>
        <w:pStyle w:val="Style20"/>
        <w:spacing w:lineRule="auto" w:line="36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Структура учебно-методической разработки включает описание основных этапов занятия, временной регламент этапов, методические рекомендации для преподавателя по проведению этапов занятия. Дидактические материалы представлены «Технологической картой тренинга по расширенной сердечно-легочной реанимации» (трехэтапной), тренинг-кейсами, контрольно-измерительными материалами, оценочным листом для определения уровня сформированности навыков, анкетой удовлетворенности слушателей качеством проведения занятий.</w:t>
        <w:tab/>
      </w:r>
    </w:p>
    <w:p>
      <w:pPr>
        <w:pStyle w:val="Style20"/>
        <w:spacing w:lineRule="auto" w:line="360" w:before="0" w:after="0"/>
        <w:ind w:firstLine="567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Изучение принципов организации расширенной сердечно-легочной реанимации имеет огромное значение в практическом здравоохранении и способствует выработке у студентов чёткого практического опыта.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0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Исходный уровень</w:t>
      </w:r>
      <w:r>
        <w:rPr>
          <w:rStyle w:val="Style13"/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Целесообразно, чтобы участник этого тренинга: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Был студентом выпускных групп медицинского колледжа (отделений «Лечебное дело», «Сестринское дело», «Акушерское дело»).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Успешное завершение курса базовой сердечно-легочной реанимации.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Желательно: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Владение навыками: постановки периферического венозного катетера.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Учебно-методический план занятия: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Тема: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Расширенная сердечно-легочная реанимация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Место проведения: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симуляционный кабинет ЯМК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Продолжительность проведения тренинга: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180мин.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Мотивация темы: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Данная тема является основой для формирования ПК по виду профессиональной деятельности.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Идея тренинга: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подготовка студентов к слаженным действиям по алгоритму в ситуации остановки кровообращения у пациента, с целью увеличения количества спасенных жизней.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Цель тренинга: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 совершенствование уже имеющихся навыков профессиональной деятельности, командная отработка укрупненных практических навыков в конкретной симулированной ситуации профессиональной деятельности при помощи методики стандартизированный пациент («СП») или с помощью тренажеров-симуляторов. 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Знать алгоритм расширенной реанимации при остановке кровообращения.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Овладеть приёмами использования автоматического наружного дефибриллятора, ИВЛ и кислородотерапии, а также введения показанных лекарственных средств при остановке кровообращения.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Уметь работать в команде с другими медицинскими работниками.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Изучение темы базируется на знании: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анатомии и физиологии «Дыхательная система»;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основы патологии;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основы латинского языка с медицинской терминологией;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фармакология;</w:t>
      </w:r>
    </w:p>
    <w:p>
      <w:pPr>
        <w:pStyle w:val="Style20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МДК, ПМ:</w:t>
      </w:r>
    </w:p>
    <w:tbl>
      <w:tblPr>
        <w:tblW w:w="9486" w:type="dxa"/>
        <w:jc w:val="left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6"/>
        <w:gridCol w:w="3260"/>
        <w:gridCol w:w="2970"/>
      </w:tblGrid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«Сестринское дело»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«Акушерское дело»</w:t>
            </w:r>
          </w:p>
        </w:tc>
      </w:tr>
      <w:tr>
        <w:trPr>
          <w:trHeight w:val="1521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МДК. 03.01. Дифференциальная диагностика и оказание неотложной медицинской помощи на догоспитальном этапе</w:t>
            </w:r>
          </w:p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ПМ.03 Неотложная медицинская помощь на догоспитальном этапе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МДК 03.01. Основы</w:t>
            </w:r>
          </w:p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реаниматологии</w:t>
            </w:r>
          </w:p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ПМ. 03. Оказание доврачебной медицинской помощи при неотложных и экстремальных состояниях</w:t>
            </w:r>
          </w:p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МДК. 04.02. Неотложные состояния в акушерстве</w:t>
            </w:r>
          </w:p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МДК 04.03. Технология оказания медицинских услуг</w:t>
            </w:r>
          </w:p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сестринской деятельности</w:t>
            </w:r>
          </w:p>
          <w:p>
            <w:pPr>
              <w:pStyle w:val="Style20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ПМ.04 Выполнение работ по профессии «Младшая медицинская сестра по уходу за больным» по специальности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Формируемые  профессиональные и общие компетенции</w:t>
      </w:r>
      <w:r>
        <w:rPr>
          <w:rStyle w:val="Style13"/>
          <w:rFonts w:cs="Times New Roman" w:ascii="Times New Roman" w:hAnsi="Times New Roman"/>
          <w:sz w:val="24"/>
          <w:szCs w:val="24"/>
        </w:rPr>
        <w:t>: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 xml:space="preserve">ОК 2. </w:t>
      </w: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Отделение «Лечебное дело»: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 должен иметь практический опыт: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проведения клинического обследования при неотложных состояниях на догоспитальном этапе;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 с портативной диагностической и реанимационной аппаратурой;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оказания экстренной медицинской помощи при различных видах повреждений;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уметь: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обследование пациента при неотложных состояниях на догоспитальном этапе;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определять тяжесть состояния пациента;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с портативной диагностической и реанимационной аппаратурой;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эффективность оказания неотложной  медицинской помощи;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сердечно-легочную реанимацию;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фармакотерапию на догоспитальном этапе;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организовывать работу команды по оказанию неотложной медицинской помощи пациентам;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знать: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этиологию и патогенез неотложных состояний;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параметры жизнедеятельности;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алгоритм действия фельдшера при возникновении неотложных состояний  на догоспитальном этапе в соответствии со стандартами оказания скорой медицинской помощи;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оказания неотложной медицинской помощи при терминальных состояниях на догоспитальном этапе;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фармакотерапии  при неотложных состояниях на догоспитальном этапе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 xml:space="preserve">ПК 3.1. </w:t>
      </w: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Проводить диагностику неотложных состояний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ПК 3.2. Определять тактику ведения пациента.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 xml:space="preserve">ПК 3.3. </w:t>
      </w: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Выполнять лечебные вмешательства по оказанию медицинской помощи на догоспитальном этапе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Отделение «Сестринское дело»: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иметь практический опыт: 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оказания доврачебной  медицинской помощи при неотложных состояиях;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уметь: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знать: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причины, стадии и клинические проявления терминальных состояний;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алгоритмы оказания медицинской помощи при неотложных состояниях;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ПК 3.1. Оказывать доврачебную помощь при неотложных состояниях и травмах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ПК 3.2 Участвовать в оказании медицинской помощи при чрезвычайных ситуациях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ПК 3.3 Взаимодействовать с членами профессиональной бригады 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и добровольными помощниками в условиях чрезвычайных ситуаций.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Отделение «Акушерское дело»: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Иметь практический навык: 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оказание доврачебной помощи беременной, роженице, родильнице, 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при акушерской и экстрагенитальной патологии;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уметь: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оказывать доврачебную помощь при акушерской и экстрагенитальной патологии;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знать: 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доврачебную помощь при неотложных состояниях в акушерстве;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ПК 2.3 Оказывать доврачебную помощь при острых заболеваниях, несчастных случаях, чрезвычайных ситуациях и в условиях эпидемии.</w:t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ПК 2.4 Обучать население приемам оказания первой медицинской помощи.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Методы и формы обучения, используемые на занятии: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применяются симуляционный тренинг, который состоит из следующих этапов: брифинг, выработка навыка в симулированных условиях, дебрифинг, рефлексивно-оценочный, интерактивный. 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Материально-техническое обеспечение занятия: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1.ТСО – видеофильм «Расширенная сердечно-лёгочная реанимация», лекция - презентация «Алгоритм расширенной сердечно-легочной реанимации», манекен для проведения СЛР, дефибриллятор, воздухоотвод, мешок Амбу, расходные материалы: стерильные шарики, перчатки, антисептик, система для внутривенных вливаний, шприцы 2 мл, шприцы 5 мл, инфузионные растворы, адреналин 0,1 % — 1 мл № 10, амиодарон 150 мг — 1 амп №10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2.Дидактический материал: «Учебно-методический план», нормативно-правовая документация (приложение №3), «Входной контроль» (приложение№4), лекция по расширенной СЛР (приложение №5), «Алгоритм проведения расширенной СЛР» (по рекомендациям Европейского совета по реанимации)  (приложение №6), «Клинические сценарии (кейсы)» (приложение №7), «Анкета качества проведенного симуляционного тренинга» (приложение №10), «Критерии оценивания» (приложение №9).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Литература для студентов</w:t>
      </w:r>
      <w:r>
        <w:rPr>
          <w:rStyle w:val="Style13"/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1.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Сайт Европейского совета по реанимации: [Электронный ресурс].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: </w:t>
      </w:r>
      <w:hyperlink r:id="rId3" w:tgtFrame="_top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</w:rPr>
          <w:t>https://www.erc.edu/</w:t>
        </w:r>
      </w:hyperlink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(дата обращения: 20.03.2018).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Морозов М.А. Основы первой медицинской помощи/ Морозов М.А. – С.-Пб.: СпецЛит, 2015. – 440 стр., ил.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 для преподавателей: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Симуляционное обучение в медицине / Под ред. профессора Свистунова А.А., составитель Горшков М.Д. – Москва.:  Издательство Первого МГМУ им. И.М.Сеченова, 2013. – 288 с., ил.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iCs/>
          <w:sz w:val="24"/>
          <w:szCs w:val="24"/>
        </w:rPr>
        <w:t xml:space="preserve">2. Горшков М.Д. </w:t>
      </w:r>
      <w:r>
        <w:rPr>
          <w:rStyle w:val="Style13"/>
          <w:rFonts w:cs="Times New Roman" w:ascii="Times New Roman" w:hAnsi="Times New Roman"/>
          <w:sz w:val="24"/>
          <w:szCs w:val="24"/>
        </w:rPr>
        <w:t>Специалист медицинского симуляционного обучения / Горшков М.Д. - Москва.: РОСОМЕД, 2016. — 320 стр., ил.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Муравьев К.А., Ходжаян А.Б., Рой С.В. СИМУЛЯЦИОННОЕ ОБУЧЕНИЕ В МЕДИЦИНСКОМ ОБРАЗОВАНИИ – ПЕРЕЛОМНЫЙ МОМЕНТ // Фундаментальные исследования. – 2011. – № 10-3. – С. 534-537;</w:t>
        <w:br/>
        <w:t>URL: http://fundamental-research.ru/ru/article/view?id=28909 (дата обращения: 20.03.2018).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Дружинина, Т. В. Аттестация специалистов скорой медицинской помощи с применением симуляционных технологий / Т. В. Дружинина, А. Б. Тайченачев // Справ. фельдшера и акушерки. – 2014. – № 5. – С. 68-73.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Захарова, Л. Симуляционное обучение в системе медицинского профобразования / Л. Захарова, Ю. Нагибина // Сестринское дело. – 2016. – № 6. – С. 24-25.</w:t>
      </w:r>
    </w:p>
    <w:p>
      <w:pPr>
        <w:pStyle w:val="Style21"/>
        <w:widowControl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Сайт Европейского совета по реанимации: [Электронный ресурс]. </w:t>
      </w:r>
      <w:r>
        <w:rPr>
          <w:rStyle w:val="Style13"/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: </w:t>
      </w:r>
      <w:hyperlink r:id="rId4" w:tgtFrame="_top">
        <w:r>
          <w:rPr>
            <w:rStyle w:val="Style13"/>
            <w:rFonts w:cs="Times New Roman" w:ascii="Times New Roman" w:hAnsi="Times New Roman"/>
            <w:sz w:val="24"/>
            <w:szCs w:val="24"/>
          </w:rPr>
          <w:t>https://www.erc.edu/</w:t>
        </w:r>
      </w:hyperlink>
      <w:r>
        <w:rPr>
          <w:rStyle w:val="Style13"/>
          <w:rFonts w:cs="Times New Roman" w:ascii="Times New Roman" w:hAnsi="Times New Roman"/>
          <w:sz w:val="24"/>
          <w:szCs w:val="24"/>
        </w:rPr>
        <w:t xml:space="preserve"> (дата обращения: 20.03.2018).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widowControl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Технологическая карта комплексного симуляционного тренинга</w:t>
      </w:r>
    </w:p>
    <w:p>
      <w:pPr>
        <w:pStyle w:val="Style21"/>
        <w:widowControl/>
        <w:spacing w:lineRule="auto" w:line="360" w:before="0" w:after="0"/>
        <w:jc w:val="center"/>
        <w:rPr/>
      </w:pPr>
      <w:r>
        <w:rPr>
          <w:rStyle w:val="Style13"/>
          <w:rFonts w:eastAsia="Calibri" w:cs="Times New Roman" w:ascii="Times New Roman" w:hAnsi="Times New Roman"/>
          <w:kern w:val="0"/>
          <w:sz w:val="24"/>
          <w:szCs w:val="24"/>
        </w:rPr>
        <w:t>(</w:t>
      </w:r>
      <w:r>
        <w:rPr>
          <w:rStyle w:val="Style13"/>
          <w:rFonts w:cs="Times New Roman" w:ascii="Times New Roman" w:hAnsi="Times New Roman"/>
          <w:sz w:val="24"/>
          <w:szCs w:val="24"/>
        </w:rPr>
        <w:t>Число участников 6-10 человек)</w:t>
      </w:r>
    </w:p>
    <w:p>
      <w:pPr>
        <w:pStyle w:val="Style21"/>
        <w:widowControl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3" w:type="dxa"/>
        <w:jc w:val="left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515"/>
        <w:gridCol w:w="2660"/>
        <w:gridCol w:w="2372"/>
        <w:gridCol w:w="2516"/>
      </w:tblGrid>
      <w:tr>
        <w:trPr/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тренинга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LineNumber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LineNumbers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1.Мотивационно-целевой этап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Актуализация  имеющихся у слушателей знаний и опыта работы.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Тренер сообщает тему тренинга. Организует постановку цели проведения тренинга, методом проведения информационного запроса (выясняет ожидаемые результаты у участников тренинга) Знакомит слушателей с порядком и  способом проведения тренинга, информирует о видеорегистрации занятия.  Знакомит с устройством и  правилами эксплуатации симуляторов и тренажеров 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Соглашаются с формой проведения тренинга, дают согласие на видеорегистрацию, оценивание результата освоения навыка. По результатам информационного запроса  выявляют дефицит знаний и умений, формулируют собственные цели обучения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25 минут</w:t>
            </w:r>
          </w:p>
        </w:tc>
      </w:tr>
      <w:tr>
        <w:trPr/>
        <w:tc>
          <w:tcPr>
            <w:tcW w:w="100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>
        <w:trPr/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Style w:val="Style13"/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Практический этап 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>в симулированных условиях: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>−</w:t>
            </w: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>Брифинг</w:t>
            </w:r>
          </w:p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− </w:t>
            </w:r>
            <w:r>
              <w:rPr>
                <w:rStyle w:val="Style13"/>
                <w:rFonts w:cs="Times New Roman" w:ascii="Times New Roman" w:hAnsi="Times New Roman"/>
                <w:i/>
                <w:iCs/>
                <w:sz w:val="24"/>
                <w:szCs w:val="24"/>
              </w:rPr>
              <w:t>Освоение навыка (один человек или в команде согласно сценарию): в 3 этапа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uppressLineNumber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Знакомит с последовательностью проведения 3-х этапного способа комбинированного тренинга, отвечает на уточняющие вопросы. Выдает и проводит инструктаж выполнения задания: решение клинического сценария, демонстрация практического навыка:</w:t>
            </w:r>
          </w:p>
          <w:p>
            <w:pPr>
              <w:pStyle w:val="Style21"/>
              <w:widowControl/>
              <w:suppressLineNumber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 этап – наблюдение и оценка результата выполненного задания;</w:t>
            </w:r>
          </w:p>
          <w:p>
            <w:pPr>
              <w:pStyle w:val="Style21"/>
              <w:widowControl/>
              <w:suppressLineNumber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этап – проведение дебрифинга (совместная работа по выработке рекомендаций в совершенствовании практического навыка, способом факт-отношение-вопрос)</w:t>
            </w:r>
          </w:p>
          <w:p>
            <w:pPr>
              <w:pStyle w:val="Style21"/>
              <w:widowControl/>
              <w:suppressLineNumbers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этап – оценивание повторного выполнения задания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Знакомятся с информацией, задают уточняющие вопросы.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Знакомятся с содержанием задания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этап –демонстрирует (ют) навык (в команде);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этап – участвуют в выработке рекомендаций по совершенствованию практического навыка.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этап – контрольное выполнение симуляционного задания с демонстрацией алгоритма действий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130 минут</w:t>
            </w:r>
          </w:p>
        </w:tc>
      </w:tr>
      <w:tr>
        <w:trPr/>
        <w:tc>
          <w:tcPr>
            <w:tcW w:w="100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bCs/>
                <w:sz w:val="24"/>
                <w:szCs w:val="24"/>
              </w:rPr>
              <w:t>ЗАКЛЮЧИТЕЛЬНАЯ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bCs/>
                <w:sz w:val="24"/>
                <w:szCs w:val="24"/>
              </w:rPr>
              <w:t>ЧАСТЬ</w:t>
            </w:r>
          </w:p>
        </w:tc>
      </w:tr>
      <w:tr>
        <w:trPr/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b/>
                <w:bCs/>
                <w:sz w:val="24"/>
                <w:szCs w:val="24"/>
              </w:rPr>
              <w:t>3.Рефлексивно-оценочный этап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Организует и проводит анализ результатов достижения поставленных целей.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прирост в освоении навыка. Самоактуализируют совершенствование практического навыка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минут</w:t>
            </w:r>
          </w:p>
        </w:tc>
      </w:tr>
      <w:tr>
        <w:trPr/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/>
            </w:pPr>
            <w:r>
              <w:rPr>
                <w:rStyle w:val="Style13"/>
                <w:rFonts w:cs="Times New Roman" w:ascii="Times New Roman" w:hAnsi="Times New Roman"/>
                <w:b/>
                <w:bCs/>
                <w:sz w:val="24"/>
                <w:szCs w:val="24"/>
              </w:rPr>
              <w:t>4. Интерактивный опрос участников тренинга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Выдает анкету с перечнем вопросов касающихся качества проведенного симуляционного тренинга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вопросы анкеты. Вносят предложения по улучшению качества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widowControl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 минут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</w:t>
      </w:r>
      <w:r>
        <w:rPr>
          <w:rStyle w:val="Style13"/>
          <w:rFonts w:cs="Times New Roman" w:ascii="Times New Roman" w:hAnsi="Times New Roman"/>
          <w:i/>
          <w:iCs/>
          <w:sz w:val="24"/>
          <w:szCs w:val="24"/>
        </w:rPr>
        <w:t>Примечание: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Входной контроль проводится до начала занятия (предварительно и дистанционно). Тестовые занятия должны быть максимально практикоориентированы (см. приложение № 4)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программу данного тренинга не входит обучение данным навыкам. Для обеспечения целостности проведения алгоритма в ходе тренинга эта манипуляция выполняется условно или предполагается, что пациенту они уже проведены заранее.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1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Инструктаж по технике безопасности для обучающихся 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center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в симуляционном кабинете ГБПОУ РС(Я) «ЯМК»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Обучающийся должен: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1. Заблаговременно прибыть на место проведения занятий строго в соответствии с утвержденным расписанием (вход строго по пропускам или студенческим билетам).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2. При себе иметь и использовать в процессе занятий: медицинский халат, шапочку, сменную обувь (бахилы), маску, резиновые перчатки (если необходимо – марлевую салфетку, фонендоскоп и т.п.).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3.  Знать правила асептики и антисептики, показания, противопоказания к манипуляциям, отрабатываемым в соответствии с темой занятия, а также алгоритм их проведения.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4. Соблюдать правила личной гигиены и иметь аккуратный внешний вид (прическа, макияж, маникюр).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5.  Соблюдать чистоту и порядок на территории центра и здания, в котором он располагается.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6. Пройти инструктаж, проводимый преподавателем, и соблюдать правила техники безопасности и поведения в центре.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7. Перед началом отработки практического навыка убедиться в целостности и исправности  учебного оборудования, подготовленности и чистоте рабочего места.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8. При проведении манипуляций соблюдать порядок, чистоту и аккуратность на рабочем месте.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9. Выполнять манипуляции на тренажерном оборудовании строго в соответствии с алгоритмами их проведения. Аккуратно обращаться с тренажером, не прикладывать излишних усилий при работе. (Нарушение методики проведения может привести к выходу тренажера из строя, а в работе с реальным пациентом - причинить боль и/или нанести травму).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10. По окончании выполнения манипуляции, привести рабочее место в исходное состояние, пригодное для последующей работы.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11. По окончании занятия покинуть здание, в котором расположен центр.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Запрещается: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1. Пробовать на вкус любые реактивы и используемые в работе жидкости.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2. Курить и принимать пищу на территории центра и здания, в котором он располагается.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3. Заходить в учебные помещения и покидать их без разрешения преподавателя и сотрудников центра.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4. Пребывать вне занятий в здании, на территории которого расположен центр (кроме проживания).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5. Осуществлять действия, не предусмотренные методикой обучения, правилами поведения в центре и противопожарной безопасности.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6. В случае сбоя в работе учебного оборудования самостоятельно пытаться устранить неисправность.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7. Обучающийся несет ответственность за сохранность и эффективное использование вверенного ему учебного оборудования.</w:t>
      </w:r>
    </w:p>
    <w:p>
      <w:pPr>
        <w:pStyle w:val="Style21"/>
        <w:widowControl/>
        <w:shd w:fill="FFFFFF" w:val="clear"/>
        <w:suppressAutoHyphens w:val="false"/>
        <w:spacing w:lineRule="auto" w:line="360" w:before="0" w:after="0"/>
        <w:jc w:val="both"/>
        <w:textAlignment w:val="auto"/>
        <w:rPr/>
      </w:pPr>
      <w:r>
        <w:rPr>
          <w:rStyle w:val="Style13"/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8. Все расходные одноразовые материалы в учебных целях используются многократно, имитируя соблюдения правил асептики и антисептики.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 xml:space="preserve">Приложение 2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Информированное согласие участника тренинга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Обязательным условием участия в тренинге «Расширенная сердечно-легочная реанимация» является: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spacing w:lineRule="auto" w:line="360" w:before="0" w:after="0"/>
        <w:ind w:left="1414" w:hanging="283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аудио-видео регистрация (необходима для оценки результата тренинга, разбора моментов, устранения ошибок);</w:t>
      </w:r>
    </w:p>
    <w:p>
      <w:pPr>
        <w:pStyle w:val="Normal"/>
        <w:numPr>
          <w:ilvl w:val="1"/>
          <w:numId w:val="3"/>
        </w:numPr>
        <w:tabs>
          <w:tab w:val="left" w:pos="0" w:leader="none"/>
        </w:tabs>
        <w:spacing w:lineRule="auto" w:line="360" w:before="0" w:after="0"/>
        <w:ind w:left="1414" w:hanging="283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оценка практических навыков.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>ФИО участников:                                       Подпись: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  <w:t xml:space="preserve">Дата: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Приложение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Нормативно-правовая документация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Федеральный закон от 21 ноября 2011 № 323 ФЗ «Об основах охраны здоровья граждан в Российской Федерации».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Приказ Минздравсоцразвития России от 04.05.2012 N 477н (ред. от 07.11.2012) Об утверждении перечня состояний, при которых оказывается первая помощь, и перечня мероприятий по оказанию первой помощи.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Рекомендации Европейского совета по реанимации пересмотр 2015года.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Приложение 4</w:t>
      </w:r>
    </w:p>
    <w:p>
      <w:pPr>
        <w:pStyle w:val="Style20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b/>
          <w:i/>
          <w:iCs/>
          <w:color w:val="000000"/>
          <w:sz w:val="24"/>
          <w:szCs w:val="24"/>
        </w:rPr>
        <w:t>Входной контроль</w:t>
      </w:r>
    </w:p>
    <w:p>
      <w:pPr>
        <w:pStyle w:val="Style20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i/>
          <w:iCs/>
          <w:color w:val="000000"/>
          <w:sz w:val="24"/>
          <w:szCs w:val="24"/>
        </w:rPr>
        <w:t>(проводятся до тренинга, дистанционно)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1.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Установите соответствие:</w:t>
      </w:r>
    </w:p>
    <w:tbl>
      <w:tblPr>
        <w:tblW w:w="9355" w:type="dxa"/>
        <w:jc w:val="left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678"/>
        <w:gridCol w:w="4677"/>
      </w:tblGrid>
      <w:tr>
        <w:trPr/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1. Первая помощь: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Б. острое развитие заболевания, не тяжелая травма;  </w:t>
            </w:r>
          </w:p>
        </w:tc>
      </w:tr>
      <w:tr>
        <w:trPr/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2. Неотложная медицинская помощь: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В. состояние с угрозой жизни</w:t>
            </w:r>
          </w:p>
        </w:tc>
      </w:tr>
      <w:tr>
        <w:trPr/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Экстренная медицинская помощь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А. вы не при исполнении своих служебных обязанностей;</w:t>
            </w:r>
          </w:p>
        </w:tc>
      </w:tr>
    </w:tbl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2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Установите правильную последовательность алгоритма Первой помощи в случае остановки дыхания у пострадавшего: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Дыхание рот ко рту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Вызов специалистов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Оценка дыхания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Надавливания на грудину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Осмотр места происшествия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Оценка сознания</w:t>
      </w:r>
    </w:p>
    <w:p>
      <w:pPr>
        <w:pStyle w:val="Style20"/>
        <w:numPr>
          <w:ilvl w:val="0"/>
          <w:numId w:val="5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Призыв помощников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Задание 3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Для оценки сознания у пострадавшего нужно:</w:t>
      </w:r>
    </w:p>
    <w:p>
      <w:pPr>
        <w:pStyle w:val="Style20"/>
        <w:numPr>
          <w:ilvl w:val="1"/>
          <w:numId w:val="6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Похлопать по щекам, спросить: «Какое сегодня число? Вы меня слышите?»</w:t>
      </w:r>
    </w:p>
    <w:p>
      <w:pPr>
        <w:pStyle w:val="Style20"/>
        <w:numPr>
          <w:ilvl w:val="1"/>
          <w:numId w:val="6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Слегка встряхнуть за плечи и громко спросить: «Вы меня слышите? Вам нужна помощь?»</w:t>
      </w:r>
    </w:p>
    <w:p>
      <w:pPr>
        <w:pStyle w:val="Style20"/>
        <w:numPr>
          <w:ilvl w:val="1"/>
          <w:numId w:val="6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Побрызгать в лицо холодной водой</w:t>
      </w:r>
    </w:p>
    <w:p>
      <w:pPr>
        <w:pStyle w:val="Style20"/>
        <w:numPr>
          <w:ilvl w:val="1"/>
          <w:numId w:val="6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Поднести ватный шарик с нашатырным спиртом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Задание 4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Оценку дыхания проводят:</w:t>
      </w:r>
    </w:p>
    <w:p>
      <w:pPr>
        <w:pStyle w:val="Style20"/>
        <w:numPr>
          <w:ilvl w:val="1"/>
          <w:numId w:val="7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 помощью зеркала или мобильного телефона</w:t>
      </w:r>
    </w:p>
    <w:p>
      <w:pPr>
        <w:pStyle w:val="Style20"/>
        <w:numPr>
          <w:ilvl w:val="1"/>
          <w:numId w:val="7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Только медицинские работники</w:t>
      </w:r>
    </w:p>
    <w:p>
      <w:pPr>
        <w:pStyle w:val="Style20"/>
        <w:numPr>
          <w:ilvl w:val="1"/>
          <w:numId w:val="7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При помощи кусочка нитки или ватки, поднесенного к дыхательным путям пострадавшего</w:t>
      </w:r>
    </w:p>
    <w:p>
      <w:pPr>
        <w:pStyle w:val="Style20"/>
        <w:numPr>
          <w:ilvl w:val="1"/>
          <w:numId w:val="7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 помощью своего слуха, зрения и обоняния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5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Для оценки дыхания необходимо: (поставьте в соответствие)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Запрокинуть голову назад, открывая рот пострадавшему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Указательным и средним пальцем другой руки подхватить пострадавшего за подбородок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Склониться ухом ко рту пострадавшего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Смотреть на движения грудной клетки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Считать вслух до 10</w:t>
      </w:r>
    </w:p>
    <w:p>
      <w:pPr>
        <w:pStyle w:val="Style20"/>
        <w:numPr>
          <w:ilvl w:val="1"/>
          <w:numId w:val="8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Положить ладонь одной своей руки на лоб пострадавшего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Эталоны ответов: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1: 1 — А, 2 — Б, 3 — В.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2: 5, 6, 7, 3, 2, 4, 1.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Задание 3: 2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Задание 4: 4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Задание 5: 6, 2, 1, 3, 4, 5.</w:t>
      </w:r>
    </w:p>
    <w:p>
      <w:pPr>
        <w:pStyle w:val="Style28"/>
        <w:spacing w:lineRule="auto" w:line="360" w:before="0" w:after="0"/>
        <w:jc w:val="both"/>
        <w:rPr/>
      </w:pPr>
      <w:r>
        <w:rPr/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Приложение 5</w:t>
      </w:r>
    </w:p>
    <w:p>
      <w:pPr>
        <w:pStyle w:val="Style21"/>
        <w:widowControl/>
        <w:suppressAutoHyphens w:val="false"/>
        <w:spacing w:lineRule="auto" w:line="360" w:before="0" w:after="0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b/>
          <w:color w:val="000000"/>
          <w:sz w:val="24"/>
          <w:szCs w:val="24"/>
        </w:rPr>
        <w:t>Лекция по теме «Расширенная сердечно-легочная реанимация»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sz w:val="24"/>
          <w:szCs w:val="24"/>
        </w:rPr>
        <w:t>1. Расширенная сердечно-легочная реанимация: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это комплекс мероприятий жизнеобеспечения, включающий в себя СЛР с использованием специального медицинского оборудования и лекарственных препаратов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2.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Компоненты РСЛР: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•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Диагностика и лечение вариантов остановки кровообращения + электрическая дефибрилляция (по показаниям);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•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Поддержание просвета дыхательных путей +ИВЛ;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•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Парентеральный доступ + введение лекарственных веществ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Диагностика вариантов остановки кровообращения: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дефибриллируемые нарушения ритма;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недефибриллирумые нарушения ритма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4.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Дефибриллируемые нарушения ритма: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фибрилляция желудочков (ФЖ);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желудочковая тахикардия (ЖТ) без пульса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5.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Недефибриллирумые нарушения ритма: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-асистолия;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-электромеханическая диссоциация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6.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Электрическая дефбрилляция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это нанесение электрического разряда при помощи дефибриллятора для «перезагрузки» сердца и восстановления нормального ритма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</w:rPr>
        <w:t>7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. Поддержание просвета дыхательных путей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Применяются различные трубки для обеспечения проходимости дыхательных путей, а также для поддержания их просвета: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воздуховод;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ларингеальная трубка;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ларингеальная маска;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комбинированная трахеопищеводная трубка;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эндотрахеальная трубка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</w:rPr>
        <w:t>8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. Интубация трахеи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- это специальная методика обеспечения проходимости дыхательных путей, обеспечиваемая анестезиологом-реаниматологом;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 интубация трахеи позволяет максимально защитить дыхательные пути от регургитации и аспирации желудочным содержимым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</w:rPr>
        <w:t>9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. Искусственная вентиляция легких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-аппаратная (автоматическая);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-ручная (механическая)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10.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Парентеральный доступ: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-внутривенный доступ;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-внутрикостный доступ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11.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Использование лекарственных средств: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-Амиодарон (кордарон) – антиаритмик III класса, используется при купировании дефибриллируемых нарушений ритма;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-Эпинефрин (адреналин) – адреностимулятор, обладает кардио- и вазопрессорным эффектом, применяется при всех вариантах остановки кровообращения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12.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Алгоритм при дефибриллируемых нарушениях ритма: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-диагностика дефибриллируемого нарушения ритма;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-обеспечение проходимости дыхательных путей и поддержание их просвета;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-парентеральный доступ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13.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Алгоритм при дефибриллируемых нарушениях ритма: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1) Наносится разряд 150 Дж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СЛР 2 мин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Оценка сердечного ритма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2) Разряд 250 Дж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СЛР 2 мин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Оценка сердечного ритма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3) Разряд 300 Дж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Адреналин 1 мг в/в + амиодарон 300 мг в/в (вводятся каждые 4-5 мин)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4) Разряд 360 Дж</w:t>
      </w:r>
    </w:p>
    <w:p>
      <w:pPr>
        <w:pStyle w:val="Style2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>СЛР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5)Разряд 360 ДЖ и так до восстановления ритма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</w:rPr>
        <w:t xml:space="preserve">14.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Алгоритм при недефибриллируемых нарушениях ритма: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-диагностика недефибриллируемого нарушения ритма;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-обеспечение проходимости дыхательных путей и поддержание их просвета;</w:t>
      </w:r>
    </w:p>
    <w:p>
      <w:pPr>
        <w:pStyle w:val="Style20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-парентеральный доступ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14. </w:t>
      </w:r>
      <w:r>
        <w:rPr>
          <w:rStyle w:val="Style13"/>
          <w:rFonts w:cs="Times New Roman" w:ascii="Times New Roman" w:hAnsi="Times New Roman"/>
          <w:b/>
          <w:bCs/>
          <w:color w:val="000000"/>
          <w:sz w:val="24"/>
          <w:szCs w:val="24"/>
        </w:rPr>
        <w:t>Алгоритм при недефибриллируемых нарушениях ритма: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-СЛР 2 мин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-Адреналин 1 мг в/в при первой возможности, затем каждые 4 мин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-Оценка ритма каждые 2 минуты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6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Алгоритм выполнения (пациент не реагирует)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Вызов помощи (адресное обращение к человеку в зоне видимости + вызов реанимационной бригады + доставка укладки).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Проверка дыхания (освобождение дыхательных путей; слушаем, чувствуем дыхание, наблюдаем за экскурсией грудной клетки в течение 10 счетов вслух).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Ранее начало компрессий грудной клетки (КГК) – пациент на твердой и ровной поверхности, правильное положение рук и тела мед.работника.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Инструментальная оценка ритма АНД (монитор пациента или мануальный дефибриллятор), минимум времени перерыв в КГК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Инструментальная искусственная вентиляция легких и кислород (лицевая маска, дыхательный мешок, перчатки, оротрахеальный воздуховод, О2)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Обеспечение в/в (или внутрикостного) доступа (ПВК, перчатки, капельница)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дефибрилляции по показаниям (размещение электродов, проводов, не прикасаться к пациенту, смотреть на окружающих, команда «Разряд», немедленное возобновление КГК) повтор каждые 2 мин.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Заблаговременная подготовка и введение ЛС.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Необходимо обращать внимание на следующие нюансы: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1. В целях повышения качества подготовки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 xml:space="preserve">реанимационные мероприятия </w:t>
      </w:r>
      <w:r>
        <w:rPr>
          <w:rStyle w:val="Style13"/>
          <w:rFonts w:cs="Times New Roman" w:ascii="Times New Roman" w:hAnsi="Times New Roman"/>
          <w:sz w:val="24"/>
          <w:szCs w:val="24"/>
        </w:rPr>
        <w:t>специально разбиты на три уровня: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Базовый – для всех категорий граждан (вы один, ничего нет)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Общемедицинский – для всех категории медиков (группа, укладка)</w:t>
      </w:r>
    </w:p>
    <w:p>
      <w:pPr>
        <w:pStyle w:val="Normal"/>
        <w:numPr>
          <w:ilvl w:val="2"/>
          <w:numId w:val="11"/>
        </w:numPr>
        <w:tabs>
          <w:tab w:val="left" w:pos="0" w:leader="none"/>
        </w:tabs>
        <w:spacing w:lineRule="auto" w:line="360" w:before="0"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Специализированный – для бригад скорой помощи и реанимационных, а также других специалистов, работающих в отделениях, где высокая частота подобных состояний (устранение обратимых причин и профилактика остановок КО, постреанимационное лечение)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2. Легитимность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использования данного алгоритма для разных категорий медицинского персонала. Любой медицинский работник, допущенный к работе в медицинской организации, обязан: определять остановку КО, вызвать помощь, приступить к базовой СЛР, далее делать то, чему он обучен для устранения жизнеугрожающего состояния у пациента (в соответствии с данным алгоритмом).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i/>
          <w:iCs/>
          <w:sz w:val="24"/>
          <w:szCs w:val="24"/>
        </w:rPr>
        <w:t>Примечание.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В настоящее время нет четкого и единого алгоритма для таких ситуаций в РФ. Тем не менее, если в квалификационных характеристиках специалиста, имеющего диплом об образовании и действующий сертификат (свидетельство об аккредитации) или должностных инструкциях медицинского работника, лица, допущенного к оказанию медицинской помощи, присутствует обязанность оказывать медицинскую помощь в неотложной или экстренной форме, то любое из действий, входящих в выше обозначенный алгоритм допустимо к применению. Единственное условие, что это лицо в последствие должно уметь обосновать свои действия (показания и собственную подготовку).</w:t>
      </w:r>
    </w:p>
    <w:p>
      <w:pPr>
        <w:pStyle w:val="Normal"/>
        <w:numPr>
          <w:ilvl w:val="1"/>
          <w:numId w:val="12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Качественные компрессии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- основа любого вида реанимации. Продавливать грудину на глубину 5-6 см. для взрослых. Частота компрессии 100-120 в 1 мин. Руки для компрессии должны быть сложены в замок и, важно, что бы ладонная поверхность не отрывалась от поверхности груди после прекращения надавливаний и руки не сгибались в локтевых суставах. Для компрессии главное использовать силу плечевого пояса (и таза), а не бицепсы.  МИНИМУМ ПЕРЕРЫВОВ. Смена каждые 2 минуты.</w:t>
      </w:r>
    </w:p>
    <w:p>
      <w:pPr>
        <w:pStyle w:val="Normal"/>
        <w:numPr>
          <w:ilvl w:val="1"/>
          <w:numId w:val="12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 xml:space="preserve">Разделение ритмов </w:t>
      </w:r>
      <w:r>
        <w:rPr>
          <w:rStyle w:val="Style13"/>
          <w:rFonts w:cs="Times New Roman" w:ascii="Times New Roman" w:hAnsi="Times New Roman"/>
          <w:sz w:val="24"/>
          <w:szCs w:val="24"/>
        </w:rPr>
        <w:t>на дефибрилляционный (ФЖ и ЖТ) и недефибрилляционный (асистолия и ЭМД).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Основа действия дефибриллятора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– разряжение клеток миокарда при наличии в них электрической активности, но без синхронности действий (как при ФЖ). Применение этого на миокард без электрической активности, как при асистолии или на миокард с наличием синхронной деятельности, как ЭМД может негативно воздействовать на автоматизм миокарда.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Инструментальная проходимость дыхательных путей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(ДП). Золотым эталоном является интубация трахеи, но проводиться она должна только специалистом, который имеет регулярную практику проведения этой манипуляции (т.е. имеющий к ней допуск). Время выполнения не должно превышать 30 секунд, для оценки целесообразно использовать капнограф. В случае, если это удалось, ИВЛ осуществляют 10 дых. циклов в минуту параллельно с непрерывными КГК со скоростью 100/сек (100-120). Прерываются на оценку состояния, каждые 2 минуты и дефибрилляцию по показаниям.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не менее, для большинства медицинских работников инструментальным обеспечением ИВЛ является – к запрокидыванию головы дополнение лицевой маской и дыхательным мешком с подключением О2. Наличие оротрахеального воздуховода соответствующего размера, отсутствие противопоказаний к нему способствует лучшему поддержанию проходимости ДП.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При наличии альтернативных интубации трахеи средств          (назотрахеальный воздуховод, ларенгиальная маска, трубка, пищеводно-трахеальная комбинированная трубка (CombyTube), конико-, трахео- стомы), они могут быть применены по показаниям, лицами обученными к их применению. В данный курс использование этих средств входит только по согласованию с заказчиком всей группы обучающихся. Для всех желающих рекомендован специальный курс по респираторной терапии и инструментальному обеспечению проходимости дыхательных путей.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7.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Кислородотерапия (принцип ОМG)</w:t>
      </w:r>
      <w:r>
        <w:rPr>
          <w:rStyle w:val="Style13"/>
          <w:rFonts w:cs="Times New Roman" w:ascii="Times New Roman" w:hAnsi="Times New Roman"/>
          <w:sz w:val="24"/>
          <w:szCs w:val="24"/>
        </w:rPr>
        <w:t>. Без обеспечения достаточной оксигенации восстановление правильного ритма, обеспечивающего перфузию, может быть невозможным.</w:t>
      </w:r>
    </w:p>
    <w:p>
      <w:pPr>
        <w:pStyle w:val="Normal"/>
        <w:numPr>
          <w:ilvl w:val="0"/>
          <w:numId w:val="14"/>
        </w:numPr>
        <w:tabs>
          <w:tab w:val="left" w:pos="0" w:leader="none"/>
        </w:tabs>
        <w:spacing w:lineRule="auto" w:line="360" w:before="0" w:after="0"/>
        <w:ind w:left="720" w:hanging="360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Работа в команде.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Любая командная работа предполагает: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наличия лидера,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общей цели работы, а также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других лиц, которые своими действиями поддерживают взаимную ответственность за результат деятельности.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Лидерство в командной работе – это одна из функций. Правильное применение лидерства приближает всю команду к успеху с той же вероятностью, как и правильное применение других функций (инструментов). Поэтому лидером в экстренной ситуации может стать любой её потенциальный участник вне зависимости от его официального статуса.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9.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Ранее обеспечение в/в доступа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Наличие ПВК является одним из факторов успешной реанимации. Постановка ЦВК требует особых условий и обученного персонала, а также времени на остановку КГК, поэтому для экстренных ситуаций не очень подходит. Альтернативой ПВК является внутрикостный доступ, для обеспечения которого требуется специальное оборудование.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10.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Введение ЛС.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При болюсном введении введении ЛС требуется их разведение до 10 мл. А также последующем капельным или болюсным введением 20 мл кристаллоидов для обеспечения доставки ЛС к органам мишеням. Введение ЛС должно проводиться на фоне КГК и с последующим подъемом руки.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11. </w:t>
      </w:r>
      <w:r>
        <w:rPr>
          <w:rStyle w:val="Style13"/>
          <w:rFonts w:cs="Times New Roman" w:ascii="Times New Roman" w:hAnsi="Times New Roman"/>
          <w:b/>
          <w:bCs/>
          <w:sz w:val="24"/>
          <w:szCs w:val="24"/>
        </w:rPr>
        <w:t>Решение о прекращение реанимационных мероприятий</w:t>
      </w:r>
      <w:r>
        <w:rPr>
          <w:rStyle w:val="Style13"/>
          <w:rFonts w:cs="Times New Roman" w:ascii="Times New Roman" w:hAnsi="Times New Roman"/>
          <w:sz w:val="24"/>
          <w:szCs w:val="24"/>
        </w:rPr>
        <w:t xml:space="preserve"> принимается специально обученным персоналом. Поэтому основная задача всех остальных медицинских работников приложить усилия, чтобы эти лица оказались рядом с пациентом, которому проводятся реанимационные мероприятия. В соответствии с законом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yle20"/>
        <w:spacing w:lineRule="auto" w:line="360" w:before="0" w:after="0"/>
        <w:jc w:val="right"/>
        <w:rPr/>
      </w:pPr>
      <w:r>
        <w:rPr>
          <w:rStyle w:val="Style13"/>
          <w:rFonts w:cs="Times New Roman" w:ascii="Times New Roman" w:hAnsi="Times New Roman"/>
          <w:i/>
          <w:color w:val="000000"/>
          <w:sz w:val="24"/>
          <w:szCs w:val="24"/>
        </w:rPr>
        <w:t>Приложение 7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Клинический кейс (сценарии)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0" w:leader="none"/>
        </w:tabs>
        <w:spacing w:lineRule="auto" w:line="360" w:before="0"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Пробный. 1 участник – непосредственный очевидец, 2 участников в зоне звуковой слышимости, все остальные в своих кабинетах на других этажах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2.  Остановка с дефибрилляционным ритмом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3.  Остановка с недефибрилляционным ритмом.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b/>
          <w:color w:val="000000"/>
        </w:rPr>
        <w:t xml:space="preserve">Описание сценария №1.  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i/>
          <w:color w:val="000000"/>
        </w:rPr>
        <w:t>Исходные данные.</w:t>
      </w:r>
      <w:r>
        <w:rPr>
          <w:rStyle w:val="Style13"/>
          <w:color w:val="000000"/>
        </w:rPr>
        <w:t xml:space="preserve"> Медицинская сестра терапевтического отделения во время вечернего обхода обнаружила пациентку Х, 68 лет, в бессознательном состоянии на полу. Больная страдает артериальной гипертензией, находится на стационарном лечении в течение 7 дней.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color w:val="000000"/>
        </w:rPr>
        <w:t>Во время проверки сознания (не реагирует), дыхания, пульса нет.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color w:val="000000"/>
        </w:rPr>
        <w:t>Ваши действия.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b/>
          <w:color w:val="000000"/>
        </w:rPr>
        <w:t>Описание сценария №2.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i/>
          <w:color w:val="000000"/>
        </w:rPr>
        <w:t>Исходные данные.</w:t>
      </w:r>
      <w:r>
        <w:rPr>
          <w:rStyle w:val="Style13"/>
          <w:color w:val="000000"/>
        </w:rPr>
        <w:t xml:space="preserve"> На пульт скорой помощи поступил вызов: мужчина 49 лет, внезапно почувствовал слабость, боли в груди, отдающие в левую руку и левую лопатку, холодный липкий пот. Вы — бригада скорой помощи появляетесь в квартире больного, после осмотра мужчина падает на ваших глазах без сознания.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color w:val="000000"/>
        </w:rPr>
        <w:t>Ваши действия.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b/>
          <w:color w:val="000000"/>
        </w:rPr>
        <w:t>Описание сценария №3.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i/>
          <w:color w:val="000000"/>
        </w:rPr>
        <w:t>Исходные данные.</w:t>
      </w:r>
      <w:r>
        <w:rPr>
          <w:rStyle w:val="Style13"/>
          <w:color w:val="000000"/>
        </w:rPr>
        <w:t xml:space="preserve"> В аэропорту Вы стоите возле стойки регистрации, внезапно стоящий перед вами молодой человек падает на пол, на окрики не реагирует. Работники аэропорта вызвали фельдшера с медпункта.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color w:val="000000"/>
        </w:rPr>
        <w:t>Ваши действия.</w:t>
      </w:r>
    </w:p>
    <w:p>
      <w:pPr>
        <w:pStyle w:val="Style28"/>
        <w:spacing w:lineRule="auto" w:line="360" w:before="0" w:after="0"/>
        <w:jc w:val="both"/>
        <w:rPr/>
      </w:pPr>
      <w:r>
        <w:rPr>
          <w:rStyle w:val="Style13"/>
          <w:i/>
          <w:color w:val="000000"/>
        </w:rPr>
        <w:t>Эталон ответа</w:t>
      </w:r>
      <w:r>
        <w:rPr>
          <w:rStyle w:val="Style13"/>
          <w:color w:val="000000"/>
        </w:rPr>
        <w:t>: действовать по алгоритму расширенной сердечно-легочной реанимации.</w:t>
      </w:r>
      <w:r>
        <w:rPr/>
        <w:t xml:space="preserve"> </w:t>
      </w:r>
      <w:r>
        <w:rPr>
          <w:rStyle w:val="Style13"/>
          <w:color w:val="000000"/>
        </w:rPr>
        <w:t>В сценарии №3 использовать АНД (автоматичесий наружный дефибриллятор)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Приложение 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Вопросы для дебрифингов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пробного выполнения: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1.Что сегодня у вас получилось?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2.Какие чувства Вы испытывали?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3.Насколько комфортно Вам было работать? Что Вас смущает?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первой сессии (клиника)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1.Что произошло?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2.Весь ли арсенал средств был использован?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3.Что было упущено?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4.Что можно улучшить?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второй сессии (команда)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Кто был лидер, какие команды от него были получены?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2. Какая была цель деятельности, какие задачи решали?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tabs>
          <w:tab w:val="left" w:pos="8931" w:leader="none"/>
        </w:tabs>
        <w:spacing w:lineRule="auto" w:line="360" w:before="0" w:after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Style w:val="Style13"/>
          <w:rFonts w:cs="Times New Roman" w:ascii="Times New Roman" w:hAnsi="Times New Roman"/>
          <w:i/>
          <w:color w:val="000000"/>
          <w:sz w:val="24"/>
          <w:szCs w:val="24"/>
        </w:rPr>
        <w:t>Приложение 9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t>Оценочный лист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Style17"/>
          <w:rFonts w:cs="Times New Roman" w:ascii="Times New Roman" w:hAnsi="Times New Roman"/>
          <w:b w:val="false"/>
          <w:color w:val="000000"/>
          <w:sz w:val="24"/>
          <w:szCs w:val="24"/>
        </w:rPr>
        <w:t>Техника проведения расширенной сердечно- легочной реанимации</w:t>
      </w:r>
    </w:p>
    <w:tbl>
      <w:tblPr>
        <w:tblW w:w="1039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7376"/>
        <w:gridCol w:w="1560"/>
        <w:gridCol w:w="1417"/>
        <w:gridCol w:w="40"/>
      </w:tblGrid>
      <w:tr>
        <w:trPr>
          <w:trHeight w:val="725" w:hRule="atLeast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uppressAutoHyphens w:val="false"/>
              <w:spacing w:lineRule="auto" w:line="360" w:before="0" w:after="0"/>
              <w:textAlignment w:val="auto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</w:rPr>
              <w:t>Отметка о выполнении</w:t>
            </w:r>
          </w:p>
          <w:p>
            <w:pPr>
              <w:pStyle w:val="Style26"/>
              <w:spacing w:lineRule="auto" w:line="360" w:before="0" w:after="0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</w:rPr>
              <w:t>Да/Нет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Экзаменуемый провел диагностику клинической смерти: оценка сознания (осторожно встряхнуть за плечи, окликнуть), дыхания (дышит или не дышит), пульс на сонных артериях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Вызвал на помощь коллег, которым поручил вызов реанимационной бригады и принести противошоковый бикс с дефибриллятором, подготовить дефибриллятор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43" w:hRule="atLeast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 проводить непрямой массаж сердца. Правильное положение рук. Глубина компрессий не менее 5 см.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Частота компрессий 100-120 в 1 минуту, соотношение компрессии и вдоха 30/2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Правильная частота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дефибрилляции. Обработал либо электроды, либо грудную клетку в месте контакта токопроводящим гелем дал команду «Всем отойти!» правильно расположил электроды и провел дефибрилляцию и немедленно продолжил компрессии грудной клетки и вентиляцию легких (30:2).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Одновременно с проведением СЛР (не отрываясь) дает задание: 1) Обеспечить венозный доступ – поставить капельницу с физ. р-ром в периферическую вену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 Одновременно с проведением СЛР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Подготовить адреналин 1 мг (1 мл 0,1% раствора)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и Амиодарон 300 мг (2 ампулы) ввести препараты болюсно по готовности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Общая оценка проведения СЛР: соблюдение последовательности проводится в последовательности: проверка сердечного ритма →разряд→компрессии и вдоха 30:2→введение препаратов (каждые 2мин) Не допускается перерывов в выполнении СЛР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24" w:hRule="atLeast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Назвал критерии правильности выполнения удачной СЛР – появление пульса на периферии или ритма на мониторе и спонтанного дыхания, изменение цвета кожных покровов Определил дальнейшую тактику (доставить в отделение реанимации, продолжить СЛР, прекратить СЛР)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Сказал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Поведение при оказании помощи – полное самообладание, уверенное выполнение, работа в команде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ФИО эксперта                                        Подпись</w:t>
            </w:r>
          </w:p>
        </w:tc>
        <w:tc>
          <w:tcPr>
            <w:tcW w:w="156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Отметка о внесении в базу (ФИО)</w:t>
            </w:r>
          </w:p>
        </w:tc>
        <w:tc>
          <w:tcPr>
            <w:tcW w:w="1417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6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10</w:t>
      </w:r>
    </w:p>
    <w:p>
      <w:pPr>
        <w:pStyle w:val="Style21"/>
        <w:widowControl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b/>
          <w:color w:val="000000"/>
          <w:sz w:val="24"/>
          <w:szCs w:val="24"/>
        </w:rPr>
        <w:t>Анкета качества проведенного симуляционного тренинга</w:t>
      </w:r>
    </w:p>
    <w:p>
      <w:pPr>
        <w:pStyle w:val="Style21"/>
        <w:widowControl/>
        <w:shd w:fill="F7F7F6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Анкета обратной связи</w:t>
      </w:r>
    </w:p>
    <w:p>
      <w:pPr>
        <w:pStyle w:val="Style21"/>
        <w:widowControl/>
        <w:shd w:fill="F7F7F6" w:val="clear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Фамилия, имя __________________________________________________________</w:t>
        <w:br/>
        <w:br/>
        <w:t>Уважаемые студенты !</w:t>
      </w:r>
    </w:p>
    <w:p>
      <w:pPr>
        <w:pStyle w:val="Style21"/>
        <w:widowControl/>
        <w:shd w:fill="F7F7F6" w:val="clear"/>
        <w:spacing w:lineRule="auto" w:line="36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Ваше мнение о прошедшем тренинге очень важно для нас. Ваши отзывы помогут сделать нашу совместную работу еще более эффективной. Пожалуйста, поставьте свои оценки, отметив их на шкале от 0 до 10:</w:t>
      </w:r>
    </w:p>
    <w:p>
      <w:pPr>
        <w:pStyle w:val="Style21"/>
        <w:widowControl/>
        <w:shd w:fill="F7F7F6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Мое настроение до тренинга:</w:t>
      </w:r>
    </w:p>
    <w:p>
      <w:pPr>
        <w:pStyle w:val="Style21"/>
        <w:widowControl/>
        <w:shd w:fill="F7F7F6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Style21"/>
        <w:widowControl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Анкета оценки эффективности тренинга</w:t>
      </w:r>
    </w:p>
    <w:p>
      <w:pPr>
        <w:pStyle w:val="Style21"/>
        <w:widowControl/>
        <w:shd w:fill="F7F7F6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Фамилия, имя __________________________________________________________</w:t>
        <w:br/>
        <w:t>Должность __________________________ Подразделение _____________________</w:t>
        <w:br/>
        <w:t>Название тренинга ______________________________________________________</w:t>
      </w:r>
    </w:p>
    <w:p>
      <w:pPr>
        <w:pStyle w:val="Style21"/>
        <w:widowControl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Уважаемые коллеги!</w:t>
      </w:r>
    </w:p>
    <w:p>
      <w:pPr>
        <w:pStyle w:val="Style21"/>
        <w:widowControl/>
        <w:shd w:fill="F7F7F6" w:val="clear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>Просим ответить на вопросы анкеты: Ваше мнение о прошедшем тренинге очень важно для нас. Ваши отзывы помогут сделать нашу совместную работу еще более эффективной. Все Ваши предложения и пожелания будут учтены при составлении программы дальнейшего обучения.</w:t>
      </w:r>
    </w:p>
    <w:tbl>
      <w:tblPr>
        <w:tblW w:w="5000" w:type="pct"/>
        <w:jc w:val="left"/>
        <w:tblInd w:w="-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81"/>
        <w:gridCol w:w="467"/>
        <w:gridCol w:w="947"/>
        <w:gridCol w:w="947"/>
        <w:gridCol w:w="713"/>
        <w:gridCol w:w="250"/>
        <w:gridCol w:w="318"/>
        <w:gridCol w:w="646"/>
        <w:gridCol w:w="933"/>
        <w:gridCol w:w="819"/>
        <w:gridCol w:w="320"/>
        <w:gridCol w:w="367"/>
        <w:gridCol w:w="713"/>
        <w:gridCol w:w="570"/>
        <w:gridCol w:w="1147"/>
      </w:tblGrid>
      <w:tr>
        <w:trPr/>
        <w:tc>
          <w:tcPr>
            <w:tcW w:w="9638" w:type="dxa"/>
            <w:gridSpan w:val="1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Узнали ли Вы что-нибудь новое для себя?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Если да то что именно? ________________________________________________________________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Сможете ли Вы применить полученные знания на практике?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Оцените насыщенность программы новой информацией: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Насколько последовательно и логично был изложен материал? Отметьте на шкале от 0 до 10</w:t>
            </w:r>
          </w:p>
        </w:tc>
      </w:tr>
      <w:tr>
        <w:trPr/>
        <w:tc>
          <w:tcPr>
            <w:tcW w:w="94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3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87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71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57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Оцените объем изложенного материала: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Недостаточно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Достаточно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Перенасыщено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Насколько комфортно вы себя чувствовали во время проведения тренинга? Отметьте на шкале от 0 до 10</w:t>
            </w:r>
          </w:p>
        </w:tc>
      </w:tr>
      <w:tr>
        <w:trPr/>
        <w:tc>
          <w:tcPr>
            <w:tcW w:w="94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3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87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71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57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Комментарии: _________________________________________________________________________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Насколько сложно Вам было воспринимать материал?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Нормально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Трудно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Оцените темп изложения материал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074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Быстрый</w:t>
            </w:r>
          </w:p>
        </w:tc>
        <w:tc>
          <w:tcPr>
            <w:tcW w:w="56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18" w:type="dxa"/>
            <w:gridSpan w:val="4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4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Медленный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Насколько Вы удовлетворены работой преподавателя? Отметьте на шкале от 0 до 10</w:t>
            </w:r>
          </w:p>
        </w:tc>
      </w:tr>
      <w:tr>
        <w:trPr/>
        <w:tc>
          <w:tcPr>
            <w:tcW w:w="948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3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64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3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87" w:type="dxa"/>
            <w:gridSpan w:val="2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71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57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Комментарии: ______________________________________________________________________________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Что бы вы посоветовали изменить в тренинге? ___________________________________________________</w:t>
            </w:r>
          </w:p>
        </w:tc>
      </w:tr>
      <w:tr>
        <w:trPr/>
        <w:tc>
          <w:tcPr>
            <w:tcW w:w="9638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Что вам особенно понравилось в тренинге? ______________________________________________________</w:t>
            </w:r>
          </w:p>
        </w:tc>
      </w:tr>
      <w:tr>
        <w:trPr/>
        <w:tc>
          <w:tcPr>
            <w:tcW w:w="481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6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center"/>
          </w:tcPr>
          <w:p>
            <w:pPr>
              <w:pStyle w:val="Style21"/>
              <w:widowControl/>
              <w:suppressLineNumbers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widowControl/>
        <w:shd w:fill="F7F7F6" w:val="clear"/>
        <w:spacing w:lineRule="auto" w:line="360" w:before="0" w:after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4"/>
          <w:szCs w:val="24"/>
        </w:rPr>
        <w:br/>
        <w:t>Дата_____________________________________ 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Style21"/>
        <w:widowControl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 w:eastAsia="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character" w:styleId="Style13">
    <w:name w:val="Основной шрифт абзаца"/>
    <w:qFormat/>
    <w:rPr/>
  </w:style>
  <w:style w:type="character" w:styleId="ListLabel1">
    <w:name w:val="ListLabel 1"/>
    <w:qFormat/>
    <w:rPr>
      <w:rFonts w:cs="Courier New"/>
    </w:rPr>
  </w:style>
  <w:style w:type="character" w:styleId="Style14">
    <w:name w:val="Символ нумерации"/>
    <w:qFormat/>
    <w:rPr>
      <w:b w:val="false"/>
      <w:bCs w:val="fals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WWCharLFO1LVL2">
    <w:name w:val="WW_CharLFO1LVL2"/>
    <w:qFormat/>
    <w:rPr>
      <w:rFonts w:ascii="Times New Roman" w:hAnsi="Times New Roman" w:cs="Courier New"/>
    </w:rPr>
  </w:style>
  <w:style w:type="character" w:styleId="WWCharLFO1LVL5">
    <w:name w:val="WW_CharLFO1LVL5"/>
    <w:qFormat/>
    <w:rPr>
      <w:rFonts w:ascii="Times New Roman" w:hAnsi="Times New Roman" w:cs="Courier New"/>
    </w:rPr>
  </w:style>
  <w:style w:type="character" w:styleId="WWCharLFO1LVL8">
    <w:name w:val="WW_CharLFO1LVL8"/>
    <w:qFormat/>
    <w:rPr>
      <w:rFonts w:ascii="Times New Roman" w:hAnsi="Times New Roman" w:cs="Courier New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b w:val="false"/>
      <w:bCs w:val="false"/>
    </w:rPr>
  </w:style>
  <w:style w:type="character" w:styleId="WWCharLFO3LVL2">
    <w:name w:val="WW_CharLFO3LVL2"/>
    <w:qFormat/>
    <w:rPr>
      <w:b w:val="false"/>
      <w:bCs w:val="false"/>
    </w:rPr>
  </w:style>
  <w:style w:type="character" w:styleId="WWCharLFO3LVL3">
    <w:name w:val="WW_CharLFO3LVL3"/>
    <w:qFormat/>
    <w:rPr>
      <w:b w:val="false"/>
      <w:bCs w:val="false"/>
    </w:rPr>
  </w:style>
  <w:style w:type="character" w:styleId="WWCharLFO3LVL4">
    <w:name w:val="WW_CharLFO3LVL4"/>
    <w:qFormat/>
    <w:rPr>
      <w:b w:val="false"/>
      <w:bCs w:val="false"/>
    </w:rPr>
  </w:style>
  <w:style w:type="character" w:styleId="WWCharLFO3LVL5">
    <w:name w:val="WW_CharLFO3LVL5"/>
    <w:qFormat/>
    <w:rPr>
      <w:b w:val="false"/>
      <w:bCs w:val="false"/>
    </w:rPr>
  </w:style>
  <w:style w:type="character" w:styleId="WWCharLFO3LVL6">
    <w:name w:val="WW_CharLFO3LVL6"/>
    <w:qFormat/>
    <w:rPr>
      <w:b w:val="false"/>
      <w:bCs w:val="false"/>
    </w:rPr>
  </w:style>
  <w:style w:type="character" w:styleId="WWCharLFO3LVL7">
    <w:name w:val="WW_CharLFO3LVL7"/>
    <w:qFormat/>
    <w:rPr>
      <w:b w:val="false"/>
      <w:bCs w:val="false"/>
    </w:rPr>
  </w:style>
  <w:style w:type="character" w:styleId="WWCharLFO3LVL8">
    <w:name w:val="WW_CharLFO3LVL8"/>
    <w:qFormat/>
    <w:rPr>
      <w:b w:val="false"/>
      <w:bCs w:val="false"/>
    </w:rPr>
  </w:style>
  <w:style w:type="character" w:styleId="WWCharLFO3LVL9">
    <w:name w:val="WW_CharLFO3LVL9"/>
    <w:qFormat/>
    <w:rPr>
      <w:b w:val="false"/>
      <w:bCs w:val="false"/>
    </w:rPr>
  </w:style>
  <w:style w:type="character" w:styleId="WWCharLFO4LVL1">
    <w:name w:val="WW_CharLFO4LVL1"/>
    <w:qFormat/>
    <w:rPr>
      <w:rFonts w:ascii="Times New Roman" w:hAnsi="Times New Roman" w:eastAsia="SimSun" w:cs="Times New Roman"/>
      <w:b w:val="false"/>
      <w:bCs w:val="false"/>
    </w:rPr>
  </w:style>
  <w:style w:type="character" w:styleId="WWCharLFO5LVL1">
    <w:name w:val="WW_CharLFO5LVL1"/>
    <w:qFormat/>
    <w:rPr>
      <w:b w:val="false"/>
      <w:bCs w:val="false"/>
    </w:rPr>
  </w:style>
  <w:style w:type="character" w:styleId="WWCharLFO6LVL2">
    <w:name w:val="WW_CharLFO6LVL2"/>
    <w:qFormat/>
    <w:rPr>
      <w:b w:val="false"/>
      <w:bCs w:val="false"/>
    </w:rPr>
  </w:style>
  <w:style w:type="character" w:styleId="WWCharLFO7LVL2">
    <w:name w:val="WW_CharLFO7LVL2"/>
    <w:qFormat/>
    <w:rPr>
      <w:b w:val="false"/>
      <w:bCs w:val="false"/>
    </w:rPr>
  </w:style>
  <w:style w:type="character" w:styleId="WWCharLFO8LVL2">
    <w:name w:val="WW_CharLFO8LVL2"/>
    <w:qFormat/>
    <w:rPr>
      <w:b w:val="false"/>
      <w:bCs w:val="false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b w:val="false"/>
      <w:bCs w:val="false"/>
    </w:rPr>
  </w:style>
  <w:style w:type="character" w:styleId="WWCharLFO11LVL3">
    <w:name w:val="WW_CharLFO11LVL3"/>
    <w:qFormat/>
    <w:rPr>
      <w:b w:val="false"/>
      <w:bCs w:val="false"/>
    </w:rPr>
  </w:style>
  <w:style w:type="character" w:styleId="WWCharLFO12LVL2">
    <w:name w:val="WW_CharLFO12LVL2"/>
    <w:qFormat/>
    <w:rPr>
      <w:b w:val="false"/>
      <w:bCs w:val="false"/>
    </w:rPr>
  </w:style>
  <w:style w:type="character" w:styleId="WWCharLFO13LVL1">
    <w:name w:val="WW_CharLFO13LVL1"/>
    <w:qFormat/>
    <w:rPr>
      <w:b w:val="false"/>
      <w:bCs w:val="false"/>
    </w:rPr>
  </w:style>
  <w:style w:type="character" w:styleId="WWCharLFO14LVL1">
    <w:name w:val="WW_CharLFO14LVL1"/>
    <w:qFormat/>
    <w:rPr>
      <w:b w:val="false"/>
      <w:bCs w:val="false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Style25">
    <w:name w:val="Абзац списка"/>
    <w:basedOn w:val="Normal"/>
    <w:qFormat/>
    <w:pPr>
      <w:suppressAutoHyphens w:val="true"/>
      <w:ind w:left="720" w:hanging="0"/>
    </w:pPr>
    <w:rPr/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</w:rPr>
  </w:style>
  <w:style w:type="paragraph" w:styleId="Style28">
    <w:name w:val="Обычный (веб)"/>
    <w:basedOn w:val="Normal"/>
    <w:qFormat/>
    <w:pPr>
      <w:suppressAutoHyphens w:val="true"/>
      <w:spacing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Текст в заданном формате"/>
    <w:basedOn w:val="Normal"/>
    <w:qFormat/>
    <w:pPr>
      <w:suppressAutoHyphens w:val="true"/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Style30">
    <w:name w:val="Текст выноски"/>
    <w:basedOn w:val="Style21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erc.edu/" TargetMode="External"/><Relationship Id="rId4" Type="http://schemas.openxmlformats.org/officeDocument/2006/relationships/hyperlink" Target="https://www.erc.ed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705</TotalTime>
  <Application>LibreOffice/6.0.3.2$Windows_X86_64 LibreOffice_project/8f48d515416608e3a835360314dac7e47fd0b821</Application>
  <Pages>1</Pages>
  <Words>4977</Words>
  <Characters>28372</Characters>
  <CharactersWithSpaces>33283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2018-03-22T04:28:00Z</dcterms:created>
  <dc:creator>PERSON</dc:creator>
  <dc:description/>
  <dc:language>ru-RU</dc:language>
  <cp:lastModifiedBy>ХТВ</cp:lastModifiedBy>
  <cp:lastPrinted>2018-04-04T03:40:00Z</cp:lastPrinted>
  <dcterms:modified xsi:type="dcterms:W3CDTF">2018-04-17T06:59:00Z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