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3E" w:rsidRPr="0096373E" w:rsidRDefault="0096373E" w:rsidP="0096373E">
      <w:pPr>
        <w:tabs>
          <w:tab w:val="left" w:pos="2295"/>
          <w:tab w:val="center" w:pos="3727"/>
        </w:tabs>
        <w:spacing w:line="276" w:lineRule="auto"/>
        <w:ind w:right="-8"/>
        <w:jc w:val="right"/>
        <w:rPr>
          <w:rFonts w:ascii="Times New Roman" w:hAnsi="Times New Roman" w:cs="Times New Roman"/>
        </w:rPr>
      </w:pPr>
      <w:r w:rsidRPr="0096373E">
        <w:rPr>
          <w:rFonts w:ascii="Times New Roman" w:hAnsi="Times New Roman" w:cs="Times New Roman"/>
        </w:rPr>
        <w:t>Макушина Ольга Ивановна</w:t>
      </w:r>
    </w:p>
    <w:p w:rsidR="0096373E" w:rsidRPr="0096373E" w:rsidRDefault="0096373E" w:rsidP="0096373E">
      <w:pPr>
        <w:tabs>
          <w:tab w:val="left" w:pos="2295"/>
          <w:tab w:val="center" w:pos="3727"/>
        </w:tabs>
        <w:spacing w:line="276" w:lineRule="auto"/>
        <w:ind w:right="-8"/>
        <w:jc w:val="right"/>
        <w:rPr>
          <w:rFonts w:ascii="Times New Roman" w:hAnsi="Times New Roman" w:cs="Times New Roman"/>
        </w:rPr>
      </w:pPr>
      <w:r w:rsidRPr="0096373E">
        <w:rPr>
          <w:rFonts w:ascii="Times New Roman" w:hAnsi="Times New Roman" w:cs="Times New Roman"/>
        </w:rPr>
        <w:t>Преподаватель первой категории</w:t>
      </w:r>
    </w:p>
    <w:p w:rsidR="0096373E" w:rsidRPr="0096373E" w:rsidRDefault="0096373E" w:rsidP="0096373E">
      <w:pPr>
        <w:tabs>
          <w:tab w:val="left" w:pos="2295"/>
          <w:tab w:val="center" w:pos="3727"/>
        </w:tabs>
        <w:spacing w:line="276" w:lineRule="auto"/>
        <w:ind w:right="-8"/>
        <w:jc w:val="right"/>
        <w:rPr>
          <w:rFonts w:ascii="Times New Roman" w:hAnsi="Times New Roman" w:cs="Times New Roman"/>
        </w:rPr>
      </w:pPr>
      <w:r w:rsidRPr="0096373E">
        <w:rPr>
          <w:rFonts w:ascii="Times New Roman" w:hAnsi="Times New Roman" w:cs="Times New Roman"/>
        </w:rPr>
        <w:t xml:space="preserve">Государственное автономное профессиональное </w:t>
      </w:r>
    </w:p>
    <w:p w:rsidR="0096373E" w:rsidRPr="0096373E" w:rsidRDefault="0096373E" w:rsidP="0096373E">
      <w:pPr>
        <w:tabs>
          <w:tab w:val="left" w:pos="2295"/>
          <w:tab w:val="center" w:pos="3727"/>
        </w:tabs>
        <w:spacing w:line="276" w:lineRule="auto"/>
        <w:ind w:right="-8"/>
        <w:jc w:val="right"/>
        <w:rPr>
          <w:rFonts w:ascii="Times New Roman" w:hAnsi="Times New Roman" w:cs="Times New Roman"/>
        </w:rPr>
      </w:pPr>
      <w:r w:rsidRPr="0096373E">
        <w:rPr>
          <w:rFonts w:ascii="Times New Roman" w:hAnsi="Times New Roman" w:cs="Times New Roman"/>
        </w:rPr>
        <w:t>образовательное учреждение</w:t>
      </w:r>
    </w:p>
    <w:p w:rsidR="0096373E" w:rsidRPr="0096373E" w:rsidRDefault="0096373E" w:rsidP="0096373E">
      <w:pPr>
        <w:tabs>
          <w:tab w:val="left" w:pos="2295"/>
          <w:tab w:val="center" w:pos="3727"/>
        </w:tabs>
        <w:spacing w:line="276" w:lineRule="auto"/>
        <w:ind w:right="-8"/>
        <w:jc w:val="right"/>
        <w:rPr>
          <w:rFonts w:ascii="Times New Roman" w:hAnsi="Times New Roman" w:cs="Times New Roman"/>
        </w:rPr>
      </w:pPr>
      <w:r w:rsidRPr="0096373E">
        <w:rPr>
          <w:rFonts w:ascii="Times New Roman" w:hAnsi="Times New Roman" w:cs="Times New Roman"/>
        </w:rPr>
        <w:t>Челябинской области «Политехнический колледж»</w:t>
      </w:r>
    </w:p>
    <w:p w:rsidR="0096373E" w:rsidRPr="0096373E" w:rsidRDefault="0096373E" w:rsidP="0096373E">
      <w:pPr>
        <w:tabs>
          <w:tab w:val="left" w:pos="2295"/>
          <w:tab w:val="center" w:pos="3727"/>
        </w:tabs>
        <w:spacing w:line="276" w:lineRule="auto"/>
        <w:ind w:right="-8"/>
        <w:jc w:val="right"/>
        <w:rPr>
          <w:rFonts w:ascii="Times New Roman" w:hAnsi="Times New Roman" w:cs="Times New Roman"/>
        </w:rPr>
      </w:pPr>
      <w:r w:rsidRPr="0096373E">
        <w:rPr>
          <w:rFonts w:ascii="Times New Roman" w:hAnsi="Times New Roman" w:cs="Times New Roman"/>
        </w:rPr>
        <w:t>(ГАПОУ ЧО «Политехнический колледж»)</w:t>
      </w:r>
    </w:p>
    <w:p w:rsidR="0096373E" w:rsidRPr="0096373E" w:rsidRDefault="0096373E" w:rsidP="0096373E">
      <w:pPr>
        <w:pStyle w:val="30"/>
        <w:shd w:val="clear" w:color="auto" w:fill="auto"/>
        <w:spacing w:line="276" w:lineRule="auto"/>
        <w:ind w:left="2580"/>
        <w:rPr>
          <w:sz w:val="24"/>
          <w:szCs w:val="24"/>
        </w:rPr>
      </w:pPr>
    </w:p>
    <w:p w:rsidR="004C101A" w:rsidRDefault="00EF004C" w:rsidP="0096373E">
      <w:pPr>
        <w:pStyle w:val="30"/>
        <w:shd w:val="clear" w:color="auto" w:fill="auto"/>
        <w:spacing w:line="276" w:lineRule="auto"/>
        <w:ind w:left="2580"/>
        <w:rPr>
          <w:sz w:val="24"/>
          <w:szCs w:val="24"/>
        </w:rPr>
      </w:pPr>
      <w:r w:rsidRPr="0096373E">
        <w:rPr>
          <w:sz w:val="24"/>
          <w:szCs w:val="24"/>
        </w:rPr>
        <w:t>Модульная технология как одно из средств формировани</w:t>
      </w:r>
      <w:r w:rsidR="0096373E">
        <w:rPr>
          <w:sz w:val="24"/>
          <w:szCs w:val="24"/>
        </w:rPr>
        <w:t>я самостоятельности обучающихся</w:t>
      </w:r>
    </w:p>
    <w:p w:rsidR="0096373E" w:rsidRPr="0096373E" w:rsidRDefault="0096373E" w:rsidP="0096373E">
      <w:pPr>
        <w:pStyle w:val="30"/>
        <w:shd w:val="clear" w:color="auto" w:fill="auto"/>
        <w:spacing w:line="276" w:lineRule="auto"/>
        <w:ind w:left="2580"/>
        <w:rPr>
          <w:sz w:val="24"/>
          <w:szCs w:val="24"/>
        </w:rPr>
      </w:pP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6373E">
        <w:rPr>
          <w:sz w:val="24"/>
          <w:szCs w:val="24"/>
        </w:rPr>
        <w:t xml:space="preserve">Модульное обучение принадлежит поколению гибких образовательных технологий и позволяет в </w:t>
      </w:r>
      <w:r w:rsidRPr="0096373E">
        <w:rPr>
          <w:sz w:val="24"/>
          <w:szCs w:val="24"/>
        </w:rPr>
        <w:t>комплексе решать такие задачи, как отбор, оптимизация и структурирование содержания обучения на деятельностной основе; обеспечение возможности вариативного изучения содержания обучения; адаптация программ обучения к уровню подготовки обучаемого; быстрое ко</w:t>
      </w:r>
      <w:r w:rsidRPr="0096373E">
        <w:rPr>
          <w:sz w:val="24"/>
          <w:szCs w:val="24"/>
        </w:rPr>
        <w:t>рректирование и обновление содержания обучения.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6373E">
        <w:rPr>
          <w:rStyle w:val="21"/>
          <w:b w:val="0"/>
          <w:sz w:val="24"/>
          <w:szCs w:val="24"/>
        </w:rPr>
        <w:t xml:space="preserve">Модульная технология профессионального обучения </w:t>
      </w:r>
      <w:r w:rsidRPr="0096373E">
        <w:rPr>
          <w:sz w:val="24"/>
          <w:szCs w:val="24"/>
        </w:rPr>
        <w:t>стандартизованная, детально разработанная система принципов проектирования учебно-программной документации для выполнения гибких модульных программ профессионал</w:t>
      </w:r>
      <w:r w:rsidRPr="0096373E">
        <w:rPr>
          <w:sz w:val="24"/>
          <w:szCs w:val="24"/>
        </w:rPr>
        <w:t>ьной подготовки и организации процесса обучения с их использованием и нацелена на обучение на основе принципа профессиональной компетентности.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6373E">
        <w:rPr>
          <w:sz w:val="24"/>
          <w:szCs w:val="24"/>
        </w:rPr>
        <w:t>Концепция получила название «Модули трудовых навыков» (МТН) и разработана с целью удовлетворения потребности рынк</w:t>
      </w:r>
      <w:r w:rsidRPr="0096373E">
        <w:rPr>
          <w:sz w:val="24"/>
          <w:szCs w:val="24"/>
        </w:rPr>
        <w:t>а труда в гибком, эффективном и индивидуальном обучении. В России внедрением МТ</w:t>
      </w:r>
      <w:proofErr w:type="gramStart"/>
      <w:r w:rsidRPr="0096373E">
        <w:rPr>
          <w:sz w:val="24"/>
          <w:szCs w:val="24"/>
        </w:rPr>
        <w:t>Н-</w:t>
      </w:r>
      <w:proofErr w:type="gramEnd"/>
      <w:r w:rsidRPr="0096373E">
        <w:rPr>
          <w:sz w:val="24"/>
          <w:szCs w:val="24"/>
        </w:rPr>
        <w:t xml:space="preserve"> технологии, разработкой программ занимается Международный центр развития модульной системы обучения (МЦРМСО).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6373E">
        <w:rPr>
          <w:sz w:val="24"/>
          <w:szCs w:val="24"/>
        </w:rPr>
        <w:t xml:space="preserve">Содержание </w:t>
      </w:r>
      <w:r w:rsidRPr="0096373E">
        <w:rPr>
          <w:rStyle w:val="21"/>
          <w:b w:val="0"/>
          <w:sz w:val="24"/>
          <w:szCs w:val="24"/>
        </w:rPr>
        <w:t xml:space="preserve">модульного обучения </w:t>
      </w:r>
      <w:r w:rsidRPr="0096373E">
        <w:rPr>
          <w:sz w:val="24"/>
          <w:szCs w:val="24"/>
        </w:rPr>
        <w:t xml:space="preserve">формируется на основе системного </w:t>
      </w:r>
      <w:r w:rsidRPr="0096373E">
        <w:rPr>
          <w:sz w:val="24"/>
          <w:szCs w:val="24"/>
        </w:rPr>
        <w:t xml:space="preserve">анализа профессиональной деятельности будущего специалиста, в ходе которого выявляются конкретные задачи такой </w:t>
      </w:r>
      <w:proofErr w:type="gramStart"/>
      <w:r w:rsidRPr="0096373E">
        <w:rPr>
          <w:sz w:val="24"/>
          <w:szCs w:val="24"/>
        </w:rPr>
        <w:t>деятельности</w:t>
      </w:r>
      <w:proofErr w:type="gramEnd"/>
      <w:r w:rsidRPr="0096373E">
        <w:rPr>
          <w:sz w:val="24"/>
          <w:szCs w:val="24"/>
        </w:rPr>
        <w:t xml:space="preserve"> и выстраивается ее определенная структура.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right="300"/>
        <w:jc w:val="center"/>
        <w:rPr>
          <w:sz w:val="24"/>
          <w:szCs w:val="24"/>
        </w:rPr>
      </w:pPr>
      <w:r w:rsidRPr="0096373E">
        <w:rPr>
          <w:sz w:val="24"/>
          <w:szCs w:val="24"/>
        </w:rPr>
        <w:t>Технология модульного обучения.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6373E">
        <w:rPr>
          <w:sz w:val="24"/>
          <w:szCs w:val="24"/>
        </w:rPr>
        <w:t xml:space="preserve">Суть технологии модульной системы обучения заключается в </w:t>
      </w:r>
      <w:r w:rsidRPr="0096373E">
        <w:rPr>
          <w:sz w:val="24"/>
          <w:szCs w:val="24"/>
        </w:rPr>
        <w:t>том, что обучающийся самостоятельно или с определенной долей помощи достигает конкретных целей обучения в процессе работы с учебным модулем. Преимущество данной технологии: модули (целевые функциональные</w:t>
      </w:r>
      <w:r w:rsidR="0096373E" w:rsidRPr="0096373E">
        <w:rPr>
          <w:sz w:val="24"/>
          <w:szCs w:val="24"/>
        </w:rPr>
        <w:t xml:space="preserve"> </w:t>
      </w:r>
      <w:r w:rsidRPr="0096373E">
        <w:rPr>
          <w:sz w:val="24"/>
          <w:szCs w:val="24"/>
        </w:rPr>
        <w:t>учебные блоки) позволяют перевести обучения на субъе</w:t>
      </w:r>
      <w:r w:rsidRPr="0096373E">
        <w:rPr>
          <w:sz w:val="24"/>
          <w:szCs w:val="24"/>
        </w:rPr>
        <w:t xml:space="preserve">кт - субъективную основу, индивидуализировать работу с </w:t>
      </w:r>
      <w:proofErr w:type="gramStart"/>
      <w:r w:rsidRPr="0096373E">
        <w:rPr>
          <w:sz w:val="24"/>
          <w:szCs w:val="24"/>
        </w:rPr>
        <w:t>отдельными</w:t>
      </w:r>
      <w:proofErr w:type="gramEnd"/>
      <w:r w:rsidRPr="0096373E">
        <w:rPr>
          <w:sz w:val="24"/>
          <w:szCs w:val="24"/>
        </w:rPr>
        <w:t xml:space="preserve"> обучающимися, дозировать индивидуальную помощь, измерить формы общения мастера производственного обучения с обучающимися. Учебная программа состоит из комплекса модулей и последовательно осл</w:t>
      </w:r>
      <w:r w:rsidRPr="0096373E">
        <w:rPr>
          <w:sz w:val="24"/>
          <w:szCs w:val="24"/>
        </w:rPr>
        <w:t>ожненных дидактических задач. При этом обеспечивается входной и промежуточный контроль, что позволяет осуществлять управление процессом обучения.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96373E">
        <w:rPr>
          <w:sz w:val="24"/>
          <w:szCs w:val="24"/>
        </w:rPr>
        <w:t>Модульная система включила в себя ряд позитивных моментов: формирование конечных и промежуточных целей обучени</w:t>
      </w:r>
      <w:r w:rsidRPr="0096373E">
        <w:rPr>
          <w:sz w:val="24"/>
          <w:szCs w:val="24"/>
        </w:rPr>
        <w:t>я; распределение учебного материала на отдельные разделы; индивидуализированные темпы обучения; возможность перехода к изучению нового раздела, если полностью усвоен предыдущий материал; регулярный тестовый контроль знаний.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96373E">
        <w:rPr>
          <w:sz w:val="24"/>
          <w:szCs w:val="24"/>
        </w:rPr>
        <w:t>На первом этапе обучающиеся полу</w:t>
      </w:r>
      <w:r w:rsidRPr="0096373E">
        <w:rPr>
          <w:sz w:val="24"/>
          <w:szCs w:val="24"/>
        </w:rPr>
        <w:t>чают необходимые разъяснения о цели действия, его объекте, системе ориентиров. Это этап предварительного ознакомления с действием и условиями его выполнения - этап составления схемы ориентировочной основы действия.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96373E">
        <w:rPr>
          <w:sz w:val="24"/>
          <w:szCs w:val="24"/>
        </w:rPr>
        <w:t>На втором этапе - этапе формирования дейс</w:t>
      </w:r>
      <w:r w:rsidRPr="0096373E">
        <w:rPr>
          <w:sz w:val="24"/>
          <w:szCs w:val="24"/>
        </w:rPr>
        <w:t xml:space="preserve">твия в материальном (или материализованном) виде обучающиеся уже выполняют действие, но пока во внешней, </w:t>
      </w:r>
      <w:r w:rsidRPr="0096373E">
        <w:rPr>
          <w:sz w:val="24"/>
          <w:szCs w:val="24"/>
        </w:rPr>
        <w:lastRenderedPageBreak/>
        <w:t>материальной (материализованной) форме с развертыванием всех входящих в него операций.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96373E">
        <w:rPr>
          <w:sz w:val="24"/>
          <w:szCs w:val="24"/>
        </w:rPr>
        <w:t>После того как все содержание действия оказывается усвоенным, де</w:t>
      </w:r>
      <w:r w:rsidRPr="0096373E">
        <w:rPr>
          <w:sz w:val="24"/>
          <w:szCs w:val="24"/>
        </w:rPr>
        <w:t xml:space="preserve">йствие необходимо переводить на следующий, третий этап - этап формирования действия как </w:t>
      </w:r>
      <w:proofErr w:type="spellStart"/>
      <w:r w:rsidRPr="0096373E">
        <w:rPr>
          <w:sz w:val="24"/>
          <w:szCs w:val="24"/>
        </w:rPr>
        <w:t>внешнеречевого</w:t>
      </w:r>
      <w:proofErr w:type="spellEnd"/>
      <w:r w:rsidRPr="0096373E">
        <w:rPr>
          <w:sz w:val="24"/>
          <w:szCs w:val="24"/>
        </w:rPr>
        <w:t>, проходит дальнейшее обобщение, но остается еще неавтоматизированным и несокращенным.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96373E">
        <w:rPr>
          <w:sz w:val="24"/>
          <w:szCs w:val="24"/>
        </w:rPr>
        <w:t xml:space="preserve">Четвертый этап - этап формирования действия во внешней речи про </w:t>
      </w:r>
      <w:r w:rsidRPr="0096373E">
        <w:rPr>
          <w:sz w:val="24"/>
          <w:szCs w:val="24"/>
        </w:rPr>
        <w:t>себя - отличается от предыдущего тем, что действие выполняется беззвучно и без прописывания - как проговаривание про себя.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6373E">
        <w:rPr>
          <w:sz w:val="24"/>
          <w:szCs w:val="24"/>
        </w:rPr>
        <w:t>С этого момента действие переходит на заключительный, пятый этап - этап формирования действия во внутренней речи. На этом этапе дейст</w:t>
      </w:r>
      <w:r w:rsidRPr="0096373E">
        <w:rPr>
          <w:sz w:val="24"/>
          <w:szCs w:val="24"/>
        </w:rPr>
        <w:t xml:space="preserve">вие очень быстро </w:t>
      </w:r>
      <w:proofErr w:type="spellStart"/>
      <w:r w:rsidRPr="0096373E">
        <w:rPr>
          <w:sz w:val="24"/>
          <w:szCs w:val="24"/>
        </w:rPr>
        <w:t>преобретает</w:t>
      </w:r>
      <w:proofErr w:type="spellEnd"/>
      <w:r w:rsidRPr="0096373E">
        <w:rPr>
          <w:sz w:val="24"/>
          <w:szCs w:val="24"/>
        </w:rPr>
        <w:t xml:space="preserve"> автоматическое течение, становится недоступным самонаблюдению.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6373E">
        <w:rPr>
          <w:sz w:val="24"/>
          <w:szCs w:val="24"/>
        </w:rPr>
        <w:t>Одним из наиболее важных преимуществ модульного обучения является тесная взаимосвязь теоретических знаний и практических навыков и умений, т.к. каждый раз после пол</w:t>
      </w:r>
      <w:r w:rsidRPr="0096373E">
        <w:rPr>
          <w:sz w:val="24"/>
          <w:szCs w:val="24"/>
        </w:rPr>
        <w:t>учения определенного объема теоретической информации обучающийся сразу же закрепляет ее практически. Причем будет выполнять необходимое действие до тех пор, пока оно не будет хорошо получаться. При этом появляется очень важная в процессе обучения связь тео</w:t>
      </w:r>
      <w:r w:rsidRPr="0096373E">
        <w:rPr>
          <w:sz w:val="24"/>
          <w:szCs w:val="24"/>
        </w:rPr>
        <w:t>рии с практикой.</w:t>
      </w:r>
    </w:p>
    <w:p w:rsidR="004C101A" w:rsidRPr="0096373E" w:rsidRDefault="00EF004C" w:rsidP="0096373E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6373E">
        <w:rPr>
          <w:sz w:val="24"/>
          <w:szCs w:val="24"/>
        </w:rPr>
        <w:t xml:space="preserve">При проверке знаний </w:t>
      </w:r>
      <w:proofErr w:type="gramStart"/>
      <w:r w:rsidRPr="0096373E">
        <w:rPr>
          <w:sz w:val="24"/>
          <w:szCs w:val="24"/>
        </w:rPr>
        <w:t>обучающийся</w:t>
      </w:r>
      <w:proofErr w:type="gramEnd"/>
      <w:r w:rsidRPr="0096373E">
        <w:rPr>
          <w:sz w:val="24"/>
          <w:szCs w:val="24"/>
        </w:rPr>
        <w:t xml:space="preserve"> проходит модульные тесты. Если результаты неудовлетворительны, он может повторно изучать необходимый материал до тех пор, пока не будут достигнуты хорошие результаты обучения. Это является проявлением закона</w:t>
      </w:r>
      <w:r w:rsidRPr="0096373E">
        <w:rPr>
          <w:sz w:val="24"/>
          <w:szCs w:val="24"/>
        </w:rPr>
        <w:t xml:space="preserve"> эффекта.</w:t>
      </w:r>
    </w:p>
    <w:sectPr w:rsidR="004C101A" w:rsidRPr="0096373E" w:rsidSect="0096373E">
      <w:pgSz w:w="11900" w:h="16840"/>
      <w:pgMar w:top="28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4C" w:rsidRDefault="00EF004C" w:rsidP="004C101A">
      <w:r>
        <w:separator/>
      </w:r>
    </w:p>
  </w:endnote>
  <w:endnote w:type="continuationSeparator" w:id="0">
    <w:p w:rsidR="00EF004C" w:rsidRDefault="00EF004C" w:rsidP="004C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4C" w:rsidRDefault="00EF004C"/>
  </w:footnote>
  <w:footnote w:type="continuationSeparator" w:id="0">
    <w:p w:rsidR="00EF004C" w:rsidRDefault="00EF00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101A"/>
    <w:rsid w:val="004C101A"/>
    <w:rsid w:val="0096373E"/>
    <w:rsid w:val="00E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0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01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C1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C1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4C101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101A"/>
    <w:pPr>
      <w:shd w:val="clear" w:color="auto" w:fill="FFFFFF"/>
      <w:spacing w:line="485" w:lineRule="exact"/>
      <w:ind w:hanging="14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C101A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C101A"/>
    <w:pPr>
      <w:shd w:val="clear" w:color="auto" w:fill="FFFFFF"/>
      <w:spacing w:before="1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669</Words>
  <Characters>3819</Characters>
  <Application>Microsoft Office Word</Application>
  <DocSecurity>0</DocSecurity>
  <Lines>31</Lines>
  <Paragraphs>8</Paragraphs>
  <ScaleCrop>false</ScaleCrop>
  <Company>Krokoz™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2017-05-22T05:53:00Z</dcterms:created>
  <dcterms:modified xsi:type="dcterms:W3CDTF">2017-05-22T06:02:00Z</dcterms:modified>
</cp:coreProperties>
</file>